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9F2D" w14:textId="4F793FF6" w:rsidR="0089793F" w:rsidRPr="00A02DC3" w:rsidRDefault="00C43DF6" w:rsidP="00A02DC3">
      <w:pPr>
        <w:pStyle w:val="Heading1"/>
      </w:pPr>
      <w:r>
        <w:t xml:space="preserve">Unit </w:t>
      </w:r>
      <w:r w:rsidR="008B383D">
        <w:t>1</w:t>
      </w:r>
      <w:r>
        <w:t xml:space="preserve">: </w:t>
      </w:r>
      <w:r w:rsidR="008B383D">
        <w:t>Introducing Careers Related Learning (CRL) in your primary school</w:t>
      </w:r>
    </w:p>
    <w:p w14:paraId="555C76E4" w14:textId="6B6980EE" w:rsidR="0031764F" w:rsidRPr="0031764F" w:rsidRDefault="00766750" w:rsidP="0031764F">
      <w:pPr>
        <w:rPr>
          <w:rFonts w:asciiTheme="majorHAnsi" w:hAnsiTheme="majorHAnsi" w:cstheme="majorHAnsi"/>
          <w:b/>
          <w:bCs/>
          <w:sz w:val="28"/>
          <w:szCs w:val="28"/>
        </w:rPr>
      </w:pPr>
      <w:r>
        <w:rPr>
          <w:noProof/>
        </w:rPr>
        <w:drawing>
          <wp:anchor distT="0" distB="0" distL="114300" distR="114300" simplePos="0" relativeHeight="251655168" behindDoc="1" locked="0" layoutInCell="1" allowOverlap="1" wp14:anchorId="2C42ACDF" wp14:editId="66D761CB">
            <wp:simplePos x="0" y="0"/>
            <wp:positionH relativeFrom="margin">
              <wp:align>right</wp:align>
            </wp:positionH>
            <wp:positionV relativeFrom="paragraph">
              <wp:posOffset>-5080</wp:posOffset>
            </wp:positionV>
            <wp:extent cx="2032000" cy="2863215"/>
            <wp:effectExtent l="19050" t="19050" r="25400" b="13335"/>
            <wp:wrapTight wrapText="bothSides">
              <wp:wrapPolygon edited="0">
                <wp:start x="-203" y="-144"/>
                <wp:lineTo x="-203" y="21557"/>
                <wp:lineTo x="21668" y="21557"/>
                <wp:lineTo x="21668" y="-144"/>
                <wp:lineTo x="-203" y="-1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1641" t="53730" r="50924"/>
                    <a:stretch/>
                  </pic:blipFill>
                  <pic:spPr bwMode="auto">
                    <a:xfrm>
                      <a:off x="0" y="0"/>
                      <a:ext cx="2032000" cy="286321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764F" w:rsidRPr="0031764F">
        <w:rPr>
          <w:rFonts w:asciiTheme="majorHAnsi" w:hAnsiTheme="majorHAnsi" w:cstheme="majorHAnsi"/>
          <w:b/>
          <w:bCs/>
          <w:sz w:val="28"/>
          <w:szCs w:val="28"/>
        </w:rPr>
        <w:t>When should I use th</w:t>
      </w:r>
      <w:r w:rsidR="008B383D">
        <w:rPr>
          <w:rFonts w:asciiTheme="majorHAnsi" w:hAnsiTheme="majorHAnsi" w:cstheme="majorHAnsi"/>
          <w:b/>
          <w:bCs/>
          <w:sz w:val="28"/>
          <w:szCs w:val="28"/>
        </w:rPr>
        <w:t xml:space="preserve">is pack </w:t>
      </w:r>
      <w:r w:rsidR="0031764F" w:rsidRPr="0031764F">
        <w:rPr>
          <w:rFonts w:asciiTheme="majorHAnsi" w:hAnsiTheme="majorHAnsi" w:cstheme="majorHAnsi"/>
          <w:b/>
          <w:bCs/>
          <w:sz w:val="28"/>
          <w:szCs w:val="28"/>
        </w:rPr>
        <w:t xml:space="preserve">and how much time </w:t>
      </w:r>
      <w:proofErr w:type="gramStart"/>
      <w:r w:rsidR="0031764F" w:rsidRPr="0031764F">
        <w:rPr>
          <w:rFonts w:asciiTheme="majorHAnsi" w:hAnsiTheme="majorHAnsi" w:cstheme="majorHAnsi"/>
          <w:b/>
          <w:bCs/>
          <w:sz w:val="28"/>
          <w:szCs w:val="28"/>
        </w:rPr>
        <w:t>do</w:t>
      </w:r>
      <w:proofErr w:type="gramEnd"/>
      <w:r w:rsidR="0031764F" w:rsidRPr="0031764F">
        <w:rPr>
          <w:rFonts w:asciiTheme="majorHAnsi" w:hAnsiTheme="majorHAnsi" w:cstheme="majorHAnsi"/>
          <w:b/>
          <w:bCs/>
          <w:sz w:val="28"/>
          <w:szCs w:val="28"/>
        </w:rPr>
        <w:t xml:space="preserve"> I need?</w:t>
      </w:r>
    </w:p>
    <w:p w14:paraId="2449F47E" w14:textId="661495CB" w:rsidR="004E0FA9" w:rsidRPr="00E14B62" w:rsidRDefault="00F61F30" w:rsidP="00F61F30">
      <w:pPr>
        <w:pStyle w:val="Introductiontext"/>
        <w:rPr>
          <w:rFonts w:asciiTheme="majorHAnsi" w:hAnsiTheme="majorHAnsi" w:cstheme="majorHAnsi"/>
          <w:sz w:val="22"/>
          <w:szCs w:val="22"/>
        </w:rPr>
      </w:pPr>
      <w:r w:rsidRPr="00E14B62">
        <w:rPr>
          <w:rFonts w:asciiTheme="majorHAnsi" w:hAnsiTheme="majorHAnsi" w:cstheme="majorHAnsi"/>
          <w:sz w:val="22"/>
          <w:szCs w:val="22"/>
        </w:rPr>
        <w:t xml:space="preserve">When embarking on the journey of introducing Careers Related Learning it is important to take time to learn about the wider context, and the national issues around careers and skills. </w:t>
      </w:r>
      <w:r w:rsidR="00DC263C">
        <w:rPr>
          <w:rFonts w:asciiTheme="majorHAnsi" w:hAnsiTheme="majorHAnsi" w:cstheme="majorHAnsi"/>
          <w:sz w:val="22"/>
          <w:szCs w:val="22"/>
        </w:rPr>
        <w:t xml:space="preserve">You need some time for reading, at least an hour. </w:t>
      </w:r>
    </w:p>
    <w:p w14:paraId="41BB5013" w14:textId="77777777" w:rsidR="00E14B62" w:rsidRDefault="00F61F30" w:rsidP="00E14B62">
      <w:pPr>
        <w:pStyle w:val="Introductiontext"/>
        <w:spacing w:before="120" w:after="0"/>
        <w:rPr>
          <w:rFonts w:asciiTheme="majorHAnsi" w:hAnsiTheme="majorHAnsi" w:cstheme="majorHAnsi"/>
          <w:b/>
          <w:bCs/>
          <w:sz w:val="22"/>
          <w:szCs w:val="22"/>
        </w:rPr>
      </w:pPr>
      <w:r w:rsidRPr="00E14B62">
        <w:rPr>
          <w:rFonts w:asciiTheme="majorHAnsi" w:hAnsiTheme="majorHAnsi" w:cstheme="majorHAnsi"/>
          <w:b/>
          <w:bCs/>
          <w:sz w:val="22"/>
          <w:szCs w:val="22"/>
        </w:rPr>
        <w:t>Suggested reading</w:t>
      </w:r>
    </w:p>
    <w:p w14:paraId="5D516F4F" w14:textId="78B7E439" w:rsidR="00F61F30" w:rsidRPr="00E14B62" w:rsidRDefault="00DB022E" w:rsidP="00E14B62">
      <w:pPr>
        <w:pStyle w:val="Introductiontext"/>
        <w:spacing w:before="0" w:after="0"/>
        <w:rPr>
          <w:rFonts w:asciiTheme="majorHAnsi" w:hAnsiTheme="majorHAnsi" w:cstheme="majorHAnsi"/>
          <w:b/>
          <w:bCs/>
          <w:sz w:val="22"/>
          <w:szCs w:val="22"/>
        </w:rPr>
      </w:pPr>
      <w:hyperlink r:id="rId12" w:history="1">
        <w:r w:rsidR="00F61F30" w:rsidRPr="00E14B62">
          <w:rPr>
            <w:rStyle w:val="Hyperlink"/>
            <w:rFonts w:asciiTheme="majorHAnsi" w:hAnsiTheme="majorHAnsi" w:cstheme="majorHAnsi"/>
            <w:sz w:val="22"/>
            <w:szCs w:val="22"/>
          </w:rPr>
          <w:t>Careers and Enterprise Company – What works? Careers related learning in primary schools</w:t>
        </w:r>
      </w:hyperlink>
    </w:p>
    <w:p w14:paraId="1DAFE17D" w14:textId="26372548" w:rsidR="00F61F30" w:rsidRPr="00E14B62" w:rsidRDefault="00DB022E" w:rsidP="00E14B62">
      <w:pPr>
        <w:pStyle w:val="Introductiontext"/>
        <w:spacing w:before="0" w:after="0"/>
        <w:rPr>
          <w:rFonts w:asciiTheme="majorHAnsi" w:hAnsiTheme="majorHAnsi" w:cstheme="majorHAnsi"/>
          <w:sz w:val="22"/>
          <w:szCs w:val="22"/>
        </w:rPr>
      </w:pPr>
      <w:hyperlink r:id="rId13" w:history="1">
        <w:r w:rsidR="00F61F30" w:rsidRPr="00E14B62">
          <w:rPr>
            <w:rStyle w:val="Hyperlink"/>
            <w:rFonts w:asciiTheme="majorHAnsi" w:hAnsiTheme="majorHAnsi" w:cstheme="majorHAnsi"/>
            <w:sz w:val="22"/>
            <w:szCs w:val="22"/>
          </w:rPr>
          <w:t>Education and Employers – Drawing the future</w:t>
        </w:r>
      </w:hyperlink>
    </w:p>
    <w:p w14:paraId="5705EAAD" w14:textId="4E99A954" w:rsidR="00E14B62" w:rsidRPr="00E14B62" w:rsidRDefault="00DB022E" w:rsidP="00E14B62">
      <w:pPr>
        <w:pStyle w:val="Introductiontext"/>
        <w:spacing w:before="0" w:after="0"/>
        <w:rPr>
          <w:rFonts w:asciiTheme="majorHAnsi" w:hAnsiTheme="majorHAnsi" w:cstheme="majorHAnsi"/>
          <w:sz w:val="22"/>
          <w:szCs w:val="22"/>
        </w:rPr>
      </w:pPr>
      <w:hyperlink r:id="rId14" w:history="1">
        <w:r w:rsidR="00E14B62" w:rsidRPr="00E14B62">
          <w:rPr>
            <w:rStyle w:val="Hyperlink"/>
            <w:rFonts w:asciiTheme="majorHAnsi" w:hAnsiTheme="majorHAnsi" w:cstheme="majorHAnsi"/>
            <w:sz w:val="22"/>
            <w:szCs w:val="22"/>
          </w:rPr>
          <w:t xml:space="preserve">Nesta - </w:t>
        </w:r>
        <w:r w:rsidR="00E14B62" w:rsidRPr="00E14B62">
          <w:rPr>
            <w:rStyle w:val="Hyperlink"/>
            <w:rFonts w:asciiTheme="majorHAnsi" w:hAnsiTheme="majorHAnsi" w:cstheme="majorHAnsi"/>
            <w:sz w:val="22"/>
            <w:szCs w:val="28"/>
            <w:shd w:val="clear" w:color="auto" w:fill="FFFFFF"/>
          </w:rPr>
          <w:t>the most comprehensive public map of skills in the UK to help tackle skill shortages ahead of Brexit</w:t>
        </w:r>
      </w:hyperlink>
    </w:p>
    <w:p w14:paraId="278BC160" w14:textId="6CDEB4E2" w:rsidR="00E14B62" w:rsidRPr="00E14B62" w:rsidRDefault="00E14B62" w:rsidP="00F61F30">
      <w:pPr>
        <w:pStyle w:val="Introductiontext"/>
        <w:rPr>
          <w:rFonts w:asciiTheme="majorHAnsi" w:hAnsiTheme="majorHAnsi" w:cstheme="majorHAnsi"/>
          <w:sz w:val="22"/>
          <w:szCs w:val="22"/>
        </w:rPr>
      </w:pPr>
      <w:r w:rsidRPr="00E14B62">
        <w:rPr>
          <w:rFonts w:asciiTheme="majorHAnsi" w:hAnsiTheme="majorHAnsi" w:cstheme="majorHAnsi"/>
          <w:sz w:val="22"/>
          <w:szCs w:val="22"/>
        </w:rPr>
        <w:t xml:space="preserve">This unit can be introduced at any point within the school year, but time needs to be given for staff to explore the issues, analyse their curriculum and make </w:t>
      </w:r>
      <w:proofErr w:type="gramStart"/>
      <w:r w:rsidRPr="00E14B62">
        <w:rPr>
          <w:rFonts w:asciiTheme="majorHAnsi" w:hAnsiTheme="majorHAnsi" w:cstheme="majorHAnsi"/>
          <w:sz w:val="22"/>
          <w:szCs w:val="22"/>
        </w:rPr>
        <w:t>plans for the future</w:t>
      </w:r>
      <w:proofErr w:type="gramEnd"/>
      <w:r w:rsidRPr="00E14B62">
        <w:rPr>
          <w:rFonts w:asciiTheme="majorHAnsi" w:hAnsiTheme="majorHAnsi" w:cstheme="majorHAnsi"/>
          <w:sz w:val="22"/>
          <w:szCs w:val="22"/>
        </w:rPr>
        <w:t xml:space="preserve">. It might work for your school to begin this unit at the start of the school year, with a view to planning CRL and employer engagement opportunities for the spring and summer terms. </w:t>
      </w:r>
    </w:p>
    <w:p w14:paraId="36CE326C" w14:textId="53257119" w:rsidR="00E14B62" w:rsidRPr="00E14B62" w:rsidRDefault="00E14B62" w:rsidP="00F61F30">
      <w:pPr>
        <w:pStyle w:val="Introductiontext"/>
        <w:rPr>
          <w:rFonts w:asciiTheme="majorHAnsi" w:hAnsiTheme="majorHAnsi" w:cstheme="majorHAnsi"/>
          <w:sz w:val="22"/>
          <w:szCs w:val="22"/>
        </w:rPr>
      </w:pPr>
      <w:r w:rsidRPr="00E14B62">
        <w:rPr>
          <w:rFonts w:asciiTheme="majorHAnsi" w:hAnsiTheme="majorHAnsi" w:cstheme="majorHAnsi"/>
          <w:sz w:val="22"/>
          <w:szCs w:val="22"/>
        </w:rPr>
        <w:t>Begin by circulating the Capacity Audit which will act as your baseline to measure impact (pictured).</w:t>
      </w:r>
    </w:p>
    <w:p w14:paraId="51BF3134" w14:textId="03284AAA" w:rsidR="008754F9" w:rsidRPr="00841E7D" w:rsidRDefault="0089632C" w:rsidP="005C2F74">
      <w:pPr>
        <w:pStyle w:val="Heading2"/>
      </w:pPr>
      <w:r w:rsidRPr="00841E7D">
        <w:t>Contents</w:t>
      </w:r>
    </w:p>
    <w:tbl>
      <w:tblPr>
        <w:tblStyle w:val="TableGrid"/>
        <w:tblW w:w="8542" w:type="dxa"/>
        <w:tblLook w:val="04A0" w:firstRow="1" w:lastRow="0" w:firstColumn="1" w:lastColumn="0" w:noHBand="0" w:noVBand="1"/>
      </w:tblPr>
      <w:tblGrid>
        <w:gridCol w:w="3581"/>
        <w:gridCol w:w="1275"/>
        <w:gridCol w:w="2366"/>
        <w:gridCol w:w="1320"/>
      </w:tblGrid>
      <w:tr w:rsidR="00DB022E" w14:paraId="7CC5BC7D" w14:textId="77777777" w:rsidTr="00DB022E">
        <w:tc>
          <w:tcPr>
            <w:tcW w:w="3581" w:type="dxa"/>
          </w:tcPr>
          <w:p w14:paraId="7B4038DB" w14:textId="77777777" w:rsidR="00DB022E" w:rsidRPr="00E14B62" w:rsidRDefault="00DB022E" w:rsidP="006929F6">
            <w:pPr>
              <w:rPr>
                <w:rFonts w:asciiTheme="majorHAnsi" w:hAnsiTheme="majorHAnsi" w:cstheme="majorHAnsi"/>
                <w:sz w:val="20"/>
                <w:szCs w:val="20"/>
              </w:rPr>
            </w:pPr>
            <w:bookmarkStart w:id="0" w:name="_GoBack"/>
            <w:bookmarkEnd w:id="0"/>
            <w:r w:rsidRPr="00E14B62">
              <w:rPr>
                <w:rFonts w:asciiTheme="majorHAnsi" w:hAnsiTheme="majorHAnsi" w:cstheme="majorHAnsi"/>
                <w:sz w:val="20"/>
                <w:szCs w:val="20"/>
              </w:rPr>
              <w:t>Resource</w:t>
            </w:r>
          </w:p>
        </w:tc>
        <w:tc>
          <w:tcPr>
            <w:tcW w:w="1275" w:type="dxa"/>
          </w:tcPr>
          <w:p w14:paraId="69D22F01"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Format</w:t>
            </w:r>
          </w:p>
        </w:tc>
        <w:tc>
          <w:tcPr>
            <w:tcW w:w="2366" w:type="dxa"/>
          </w:tcPr>
          <w:p w14:paraId="3F622689"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Audience</w:t>
            </w:r>
          </w:p>
        </w:tc>
        <w:tc>
          <w:tcPr>
            <w:tcW w:w="1320" w:type="dxa"/>
          </w:tcPr>
          <w:p w14:paraId="336D2233"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Reference</w:t>
            </w:r>
          </w:p>
        </w:tc>
      </w:tr>
      <w:tr w:rsidR="00DB022E" w14:paraId="1EE1FEB5" w14:textId="77777777" w:rsidTr="00DB022E">
        <w:tc>
          <w:tcPr>
            <w:tcW w:w="3581" w:type="dxa"/>
          </w:tcPr>
          <w:p w14:paraId="63B8F580"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b/>
                <w:bCs/>
                <w:sz w:val="20"/>
                <w:szCs w:val="20"/>
              </w:rPr>
              <w:t>Why Careers Related Learning?</w:t>
            </w:r>
            <w:r w:rsidRPr="00E14B62">
              <w:rPr>
                <w:rFonts w:asciiTheme="majorHAnsi" w:hAnsiTheme="majorHAnsi" w:cstheme="majorHAnsi"/>
                <w:sz w:val="20"/>
                <w:szCs w:val="20"/>
              </w:rPr>
              <w:t xml:space="preserve"> </w:t>
            </w:r>
            <w:r w:rsidRPr="00E14B62">
              <w:rPr>
                <w:rFonts w:asciiTheme="majorHAnsi" w:hAnsiTheme="majorHAnsi" w:cstheme="majorHAnsi"/>
                <w:i/>
                <w:iCs/>
                <w:sz w:val="20"/>
                <w:szCs w:val="20"/>
              </w:rPr>
              <w:t>Exploring the relevant research</w:t>
            </w:r>
          </w:p>
        </w:tc>
        <w:tc>
          <w:tcPr>
            <w:tcW w:w="1275" w:type="dxa"/>
          </w:tcPr>
          <w:p w14:paraId="49AF19C0"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PowerPoint</w:t>
            </w:r>
          </w:p>
        </w:tc>
        <w:tc>
          <w:tcPr>
            <w:tcW w:w="2366" w:type="dxa"/>
          </w:tcPr>
          <w:p w14:paraId="5D7BA3F4"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Teachers and educational professionals</w:t>
            </w:r>
          </w:p>
        </w:tc>
        <w:tc>
          <w:tcPr>
            <w:tcW w:w="1320" w:type="dxa"/>
          </w:tcPr>
          <w:p w14:paraId="6B4DB33C"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1</w:t>
            </w:r>
          </w:p>
        </w:tc>
      </w:tr>
      <w:tr w:rsidR="00DB022E" w:rsidRPr="00723E87" w14:paraId="6D88531C" w14:textId="77777777" w:rsidTr="00DB022E">
        <w:tc>
          <w:tcPr>
            <w:tcW w:w="3581" w:type="dxa"/>
          </w:tcPr>
          <w:p w14:paraId="7EE39AED" w14:textId="32D84BA5" w:rsidR="00DB022E" w:rsidRPr="00E14B62" w:rsidRDefault="00DB022E" w:rsidP="006929F6">
            <w:pPr>
              <w:rPr>
                <w:rFonts w:asciiTheme="majorHAnsi" w:hAnsiTheme="majorHAnsi" w:cstheme="majorHAnsi"/>
                <w:b/>
                <w:bCs/>
                <w:sz w:val="20"/>
                <w:szCs w:val="20"/>
              </w:rPr>
            </w:pPr>
            <w:r w:rsidRPr="00E14B62">
              <w:rPr>
                <w:rFonts w:asciiTheme="majorHAnsi" w:hAnsiTheme="majorHAnsi" w:cstheme="majorHAnsi"/>
                <w:b/>
                <w:bCs/>
                <w:sz w:val="20"/>
                <w:szCs w:val="20"/>
              </w:rPr>
              <w:t xml:space="preserve">An </w:t>
            </w:r>
            <w:r>
              <w:rPr>
                <w:rFonts w:asciiTheme="majorHAnsi" w:hAnsiTheme="majorHAnsi" w:cstheme="majorHAnsi"/>
                <w:b/>
                <w:bCs/>
                <w:sz w:val="20"/>
                <w:szCs w:val="20"/>
              </w:rPr>
              <w:t>I</w:t>
            </w:r>
            <w:r w:rsidRPr="00E14B62">
              <w:rPr>
                <w:rFonts w:asciiTheme="majorHAnsi" w:hAnsiTheme="majorHAnsi" w:cstheme="majorHAnsi"/>
                <w:b/>
                <w:bCs/>
                <w:sz w:val="20"/>
                <w:szCs w:val="20"/>
              </w:rPr>
              <w:t>ntroduction to Careers</w:t>
            </w:r>
          </w:p>
          <w:p w14:paraId="7CBB6D74"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Assembly for Whole School</w:t>
            </w:r>
          </w:p>
        </w:tc>
        <w:tc>
          <w:tcPr>
            <w:tcW w:w="1275" w:type="dxa"/>
          </w:tcPr>
          <w:p w14:paraId="3D6308FB"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PowerPoint</w:t>
            </w:r>
          </w:p>
        </w:tc>
        <w:tc>
          <w:tcPr>
            <w:tcW w:w="2366" w:type="dxa"/>
          </w:tcPr>
          <w:p w14:paraId="1B5C592E"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EYFS/KS1 &amp; 2</w:t>
            </w:r>
          </w:p>
        </w:tc>
        <w:tc>
          <w:tcPr>
            <w:tcW w:w="1320" w:type="dxa"/>
          </w:tcPr>
          <w:p w14:paraId="40D604F0"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2</w:t>
            </w:r>
          </w:p>
        </w:tc>
      </w:tr>
      <w:tr w:rsidR="00DB022E" w14:paraId="775941B4" w14:textId="77777777" w:rsidTr="00DB022E">
        <w:tc>
          <w:tcPr>
            <w:tcW w:w="3581" w:type="dxa"/>
          </w:tcPr>
          <w:p w14:paraId="0FB7ADF8"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b/>
                <w:bCs/>
                <w:sz w:val="20"/>
                <w:szCs w:val="20"/>
              </w:rPr>
              <w:t>Why Careers Related Learning?</w:t>
            </w:r>
            <w:r w:rsidRPr="00E14B62">
              <w:rPr>
                <w:rFonts w:asciiTheme="majorHAnsi" w:hAnsiTheme="majorHAnsi" w:cstheme="majorHAnsi"/>
                <w:sz w:val="20"/>
                <w:szCs w:val="20"/>
              </w:rPr>
              <w:t xml:space="preserve"> </w:t>
            </w:r>
            <w:r w:rsidRPr="00E14B62">
              <w:rPr>
                <w:rFonts w:asciiTheme="majorHAnsi" w:hAnsiTheme="majorHAnsi" w:cstheme="majorHAnsi"/>
                <w:i/>
                <w:iCs/>
                <w:sz w:val="20"/>
                <w:szCs w:val="20"/>
              </w:rPr>
              <w:t>Infographic with main intentions</w:t>
            </w:r>
          </w:p>
        </w:tc>
        <w:tc>
          <w:tcPr>
            <w:tcW w:w="1275" w:type="dxa"/>
          </w:tcPr>
          <w:p w14:paraId="1499B29A"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PDF</w:t>
            </w:r>
          </w:p>
        </w:tc>
        <w:tc>
          <w:tcPr>
            <w:tcW w:w="2366" w:type="dxa"/>
          </w:tcPr>
          <w:p w14:paraId="67657790"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All</w:t>
            </w:r>
          </w:p>
        </w:tc>
        <w:tc>
          <w:tcPr>
            <w:tcW w:w="1320" w:type="dxa"/>
          </w:tcPr>
          <w:p w14:paraId="3AA8C34D"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3</w:t>
            </w:r>
          </w:p>
        </w:tc>
      </w:tr>
      <w:tr w:rsidR="00DB022E" w14:paraId="76753B5A" w14:textId="77777777" w:rsidTr="00DB022E">
        <w:tc>
          <w:tcPr>
            <w:tcW w:w="3581" w:type="dxa"/>
          </w:tcPr>
          <w:p w14:paraId="7DCD5846" w14:textId="77777777" w:rsidR="00DB022E" w:rsidRPr="00E14B62" w:rsidRDefault="00DB022E" w:rsidP="006929F6">
            <w:pPr>
              <w:rPr>
                <w:rFonts w:asciiTheme="majorHAnsi" w:hAnsiTheme="majorHAnsi" w:cstheme="majorHAnsi"/>
                <w:b/>
                <w:bCs/>
                <w:sz w:val="20"/>
                <w:szCs w:val="20"/>
              </w:rPr>
            </w:pPr>
            <w:r w:rsidRPr="00E14B62">
              <w:rPr>
                <w:rFonts w:asciiTheme="majorHAnsi" w:hAnsiTheme="majorHAnsi" w:cstheme="majorHAnsi"/>
                <w:b/>
                <w:bCs/>
                <w:sz w:val="20"/>
                <w:szCs w:val="20"/>
              </w:rPr>
              <w:t>Careers and Aspiration</w:t>
            </w:r>
          </w:p>
          <w:p w14:paraId="49C0740F" w14:textId="77777777" w:rsidR="00DB022E" w:rsidRPr="00E14B62" w:rsidRDefault="00DB022E" w:rsidP="006929F6">
            <w:pPr>
              <w:rPr>
                <w:rFonts w:asciiTheme="majorHAnsi" w:hAnsiTheme="majorHAnsi" w:cstheme="majorHAnsi"/>
                <w:i/>
                <w:iCs/>
                <w:sz w:val="20"/>
                <w:szCs w:val="20"/>
              </w:rPr>
            </w:pPr>
            <w:r w:rsidRPr="00E14B62">
              <w:rPr>
                <w:rFonts w:asciiTheme="majorHAnsi" w:hAnsiTheme="majorHAnsi" w:cstheme="majorHAnsi"/>
                <w:i/>
                <w:iCs/>
                <w:sz w:val="20"/>
                <w:szCs w:val="20"/>
              </w:rPr>
              <w:t>An introduction to CRL in primary schools</w:t>
            </w:r>
          </w:p>
        </w:tc>
        <w:tc>
          <w:tcPr>
            <w:tcW w:w="1275" w:type="dxa"/>
          </w:tcPr>
          <w:p w14:paraId="77313C63"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PowerPoint</w:t>
            </w:r>
          </w:p>
        </w:tc>
        <w:tc>
          <w:tcPr>
            <w:tcW w:w="2366" w:type="dxa"/>
          </w:tcPr>
          <w:p w14:paraId="36E6931C"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Parents and families</w:t>
            </w:r>
          </w:p>
        </w:tc>
        <w:tc>
          <w:tcPr>
            <w:tcW w:w="1320" w:type="dxa"/>
          </w:tcPr>
          <w:p w14:paraId="46A65770"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4</w:t>
            </w:r>
          </w:p>
        </w:tc>
      </w:tr>
      <w:tr w:rsidR="00DB022E" w14:paraId="69AA8E9D" w14:textId="77777777" w:rsidTr="00DB022E">
        <w:tc>
          <w:tcPr>
            <w:tcW w:w="3581" w:type="dxa"/>
          </w:tcPr>
          <w:p w14:paraId="730D881D" w14:textId="77777777" w:rsidR="00DB022E" w:rsidRPr="00E14B62" w:rsidRDefault="00DB022E" w:rsidP="006929F6">
            <w:pPr>
              <w:rPr>
                <w:rFonts w:asciiTheme="majorHAnsi" w:hAnsiTheme="majorHAnsi" w:cstheme="majorHAnsi"/>
                <w:b/>
                <w:bCs/>
                <w:sz w:val="20"/>
                <w:szCs w:val="20"/>
              </w:rPr>
            </w:pPr>
            <w:r w:rsidRPr="00E14B62">
              <w:rPr>
                <w:rFonts w:asciiTheme="majorHAnsi" w:hAnsiTheme="majorHAnsi" w:cstheme="majorHAnsi"/>
                <w:b/>
                <w:bCs/>
                <w:sz w:val="20"/>
                <w:szCs w:val="20"/>
              </w:rPr>
              <w:t>Careers and Aspiration</w:t>
            </w:r>
          </w:p>
          <w:p w14:paraId="692BB13A" w14:textId="77777777" w:rsidR="00DB022E" w:rsidRPr="00E14B62" w:rsidRDefault="00DB022E" w:rsidP="006929F6">
            <w:pPr>
              <w:rPr>
                <w:rFonts w:asciiTheme="majorHAnsi" w:hAnsiTheme="majorHAnsi" w:cstheme="majorHAnsi"/>
                <w:i/>
                <w:iCs/>
                <w:sz w:val="20"/>
                <w:szCs w:val="20"/>
              </w:rPr>
            </w:pPr>
            <w:r w:rsidRPr="00E14B62">
              <w:rPr>
                <w:rFonts w:asciiTheme="majorHAnsi" w:hAnsiTheme="majorHAnsi" w:cstheme="majorHAnsi"/>
                <w:i/>
                <w:iCs/>
                <w:sz w:val="20"/>
                <w:szCs w:val="20"/>
              </w:rPr>
              <w:t>An animated infographic designed for parent workshops</w:t>
            </w:r>
          </w:p>
        </w:tc>
        <w:tc>
          <w:tcPr>
            <w:tcW w:w="1275" w:type="dxa"/>
          </w:tcPr>
          <w:p w14:paraId="4C3ADF1A"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Video</w:t>
            </w:r>
          </w:p>
        </w:tc>
        <w:tc>
          <w:tcPr>
            <w:tcW w:w="2366" w:type="dxa"/>
          </w:tcPr>
          <w:p w14:paraId="098DCAE8"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Parents and families</w:t>
            </w:r>
          </w:p>
        </w:tc>
        <w:tc>
          <w:tcPr>
            <w:tcW w:w="1320" w:type="dxa"/>
          </w:tcPr>
          <w:p w14:paraId="1FADCD52"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5</w:t>
            </w:r>
          </w:p>
        </w:tc>
      </w:tr>
      <w:tr w:rsidR="00DB022E" w14:paraId="603BC715" w14:textId="77777777" w:rsidTr="00DB022E">
        <w:tc>
          <w:tcPr>
            <w:tcW w:w="3581" w:type="dxa"/>
          </w:tcPr>
          <w:p w14:paraId="361C0ABB"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b/>
                <w:bCs/>
                <w:sz w:val="20"/>
                <w:szCs w:val="20"/>
              </w:rPr>
              <w:t>Capacity Self Audit for Schools</w:t>
            </w:r>
            <w:r w:rsidRPr="00E14B62">
              <w:rPr>
                <w:rFonts w:asciiTheme="majorHAnsi" w:hAnsiTheme="majorHAnsi" w:cstheme="majorHAnsi"/>
                <w:sz w:val="20"/>
                <w:szCs w:val="20"/>
              </w:rPr>
              <w:t xml:space="preserve"> </w:t>
            </w:r>
            <w:r w:rsidRPr="00E14B62">
              <w:rPr>
                <w:rFonts w:asciiTheme="majorHAnsi" w:hAnsiTheme="majorHAnsi" w:cstheme="majorHAnsi"/>
                <w:i/>
                <w:iCs/>
                <w:sz w:val="20"/>
                <w:szCs w:val="20"/>
              </w:rPr>
              <w:t>(Baseline Measurement)</w:t>
            </w:r>
          </w:p>
        </w:tc>
        <w:tc>
          <w:tcPr>
            <w:tcW w:w="1275" w:type="dxa"/>
          </w:tcPr>
          <w:p w14:paraId="6CD47CD3"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PDF</w:t>
            </w:r>
          </w:p>
        </w:tc>
        <w:tc>
          <w:tcPr>
            <w:tcW w:w="2366" w:type="dxa"/>
          </w:tcPr>
          <w:p w14:paraId="2EC5A323"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Schools</w:t>
            </w:r>
          </w:p>
        </w:tc>
        <w:tc>
          <w:tcPr>
            <w:tcW w:w="1320" w:type="dxa"/>
          </w:tcPr>
          <w:p w14:paraId="6F10528C"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6</w:t>
            </w:r>
          </w:p>
        </w:tc>
      </w:tr>
      <w:tr w:rsidR="00DB022E" w14:paraId="3A0603E4" w14:textId="77777777" w:rsidTr="00DB022E">
        <w:tc>
          <w:tcPr>
            <w:tcW w:w="3581" w:type="dxa"/>
          </w:tcPr>
          <w:p w14:paraId="7DA20139" w14:textId="77777777" w:rsidR="00DB022E" w:rsidRPr="00E14B62" w:rsidRDefault="00DB022E" w:rsidP="006929F6">
            <w:pPr>
              <w:rPr>
                <w:rFonts w:asciiTheme="majorHAnsi" w:hAnsiTheme="majorHAnsi" w:cstheme="majorHAnsi"/>
                <w:b/>
                <w:bCs/>
                <w:sz w:val="20"/>
                <w:szCs w:val="20"/>
              </w:rPr>
            </w:pPr>
            <w:r w:rsidRPr="00E14B62">
              <w:rPr>
                <w:rFonts w:asciiTheme="majorHAnsi" w:hAnsiTheme="majorHAnsi" w:cstheme="majorHAnsi"/>
                <w:b/>
                <w:bCs/>
                <w:sz w:val="20"/>
                <w:szCs w:val="20"/>
              </w:rPr>
              <w:t xml:space="preserve">Have I Got Skills For </w:t>
            </w:r>
            <w:proofErr w:type="gramStart"/>
            <w:r w:rsidRPr="00E14B62">
              <w:rPr>
                <w:rFonts w:asciiTheme="majorHAnsi" w:hAnsiTheme="majorHAnsi" w:cstheme="majorHAnsi"/>
                <w:b/>
                <w:bCs/>
                <w:sz w:val="20"/>
                <w:szCs w:val="20"/>
              </w:rPr>
              <w:t>You</w:t>
            </w:r>
            <w:proofErr w:type="gramEnd"/>
          </w:p>
          <w:p w14:paraId="4B15DE51" w14:textId="77777777" w:rsidR="00DB022E" w:rsidRPr="00E14B62" w:rsidRDefault="00DB022E" w:rsidP="006929F6">
            <w:pPr>
              <w:rPr>
                <w:rFonts w:asciiTheme="majorHAnsi" w:hAnsiTheme="majorHAnsi" w:cstheme="majorHAnsi"/>
                <w:i/>
                <w:iCs/>
                <w:sz w:val="20"/>
                <w:szCs w:val="20"/>
              </w:rPr>
            </w:pPr>
            <w:r w:rsidRPr="00E14B62">
              <w:rPr>
                <w:rFonts w:asciiTheme="majorHAnsi" w:hAnsiTheme="majorHAnsi" w:cstheme="majorHAnsi"/>
                <w:i/>
                <w:iCs/>
                <w:sz w:val="20"/>
                <w:szCs w:val="20"/>
              </w:rPr>
              <w:t>An introduction to employability skills</w:t>
            </w:r>
          </w:p>
        </w:tc>
        <w:tc>
          <w:tcPr>
            <w:tcW w:w="1275" w:type="dxa"/>
          </w:tcPr>
          <w:p w14:paraId="20FEB7F2"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PowerPoint/ PDF</w:t>
            </w:r>
          </w:p>
        </w:tc>
        <w:tc>
          <w:tcPr>
            <w:tcW w:w="2366" w:type="dxa"/>
          </w:tcPr>
          <w:p w14:paraId="66E395AE"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All</w:t>
            </w:r>
          </w:p>
        </w:tc>
        <w:tc>
          <w:tcPr>
            <w:tcW w:w="1320" w:type="dxa"/>
          </w:tcPr>
          <w:p w14:paraId="43F21B16"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7</w:t>
            </w:r>
          </w:p>
        </w:tc>
      </w:tr>
      <w:tr w:rsidR="00DB022E" w14:paraId="3F48E018" w14:textId="77777777" w:rsidTr="00DB022E">
        <w:tc>
          <w:tcPr>
            <w:tcW w:w="3581" w:type="dxa"/>
          </w:tcPr>
          <w:p w14:paraId="58A775DD" w14:textId="77777777" w:rsidR="00DB022E" w:rsidRDefault="00DB022E" w:rsidP="006929F6">
            <w:pPr>
              <w:rPr>
                <w:rFonts w:asciiTheme="majorHAnsi" w:hAnsiTheme="majorHAnsi" w:cstheme="majorHAnsi"/>
                <w:b/>
                <w:bCs/>
                <w:sz w:val="20"/>
                <w:szCs w:val="20"/>
              </w:rPr>
            </w:pPr>
            <w:r w:rsidRPr="00E14B62">
              <w:rPr>
                <w:rFonts w:asciiTheme="majorHAnsi" w:hAnsiTheme="majorHAnsi" w:cstheme="majorHAnsi"/>
                <w:b/>
                <w:bCs/>
                <w:sz w:val="20"/>
                <w:szCs w:val="20"/>
              </w:rPr>
              <w:t>Parent and Child STEM Workshop</w:t>
            </w:r>
          </w:p>
          <w:p w14:paraId="33772D23" w14:textId="34CF512C" w:rsidR="00DB022E" w:rsidRPr="00E14B62" w:rsidRDefault="00DB022E" w:rsidP="006929F6">
            <w:pPr>
              <w:rPr>
                <w:rFonts w:asciiTheme="majorHAnsi" w:hAnsiTheme="majorHAnsi" w:cstheme="majorHAnsi"/>
                <w:b/>
                <w:bCs/>
                <w:sz w:val="20"/>
                <w:szCs w:val="20"/>
              </w:rPr>
            </w:pPr>
            <w:r w:rsidRPr="00E14B62">
              <w:rPr>
                <w:rFonts w:asciiTheme="majorHAnsi" w:hAnsiTheme="majorHAnsi" w:cstheme="majorHAnsi"/>
                <w:i/>
                <w:iCs/>
                <w:sz w:val="20"/>
                <w:szCs w:val="20"/>
              </w:rPr>
              <w:t>An introduction to employability skills</w:t>
            </w:r>
          </w:p>
        </w:tc>
        <w:tc>
          <w:tcPr>
            <w:tcW w:w="1275" w:type="dxa"/>
          </w:tcPr>
          <w:p w14:paraId="7E0B6483"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PowerPoint</w:t>
            </w:r>
          </w:p>
        </w:tc>
        <w:tc>
          <w:tcPr>
            <w:tcW w:w="2366" w:type="dxa"/>
          </w:tcPr>
          <w:p w14:paraId="161BFCC3"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Parents and families</w:t>
            </w:r>
          </w:p>
        </w:tc>
        <w:tc>
          <w:tcPr>
            <w:tcW w:w="1320" w:type="dxa"/>
          </w:tcPr>
          <w:p w14:paraId="4ABC9264"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8</w:t>
            </w:r>
          </w:p>
        </w:tc>
      </w:tr>
      <w:tr w:rsidR="00DB022E" w14:paraId="3D9C862E" w14:textId="77777777" w:rsidTr="00DB022E">
        <w:tc>
          <w:tcPr>
            <w:tcW w:w="3581" w:type="dxa"/>
          </w:tcPr>
          <w:p w14:paraId="7C5AE3BE" w14:textId="64BA9EAA" w:rsidR="00DB022E" w:rsidRPr="00E14B62" w:rsidRDefault="00DB022E" w:rsidP="006929F6">
            <w:pPr>
              <w:rPr>
                <w:rFonts w:asciiTheme="majorHAnsi" w:hAnsiTheme="majorHAnsi" w:cstheme="majorHAnsi"/>
                <w:b/>
                <w:bCs/>
                <w:sz w:val="20"/>
                <w:szCs w:val="20"/>
              </w:rPr>
            </w:pPr>
            <w:r w:rsidRPr="00E14B62">
              <w:rPr>
                <w:rFonts w:asciiTheme="majorHAnsi" w:hAnsiTheme="majorHAnsi" w:cstheme="majorHAnsi"/>
                <w:b/>
                <w:bCs/>
                <w:sz w:val="20"/>
                <w:szCs w:val="20"/>
              </w:rPr>
              <w:t>Parent session feedback form</w:t>
            </w:r>
          </w:p>
        </w:tc>
        <w:tc>
          <w:tcPr>
            <w:tcW w:w="1275" w:type="dxa"/>
          </w:tcPr>
          <w:p w14:paraId="45DFE43D"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PDF</w:t>
            </w:r>
          </w:p>
        </w:tc>
        <w:tc>
          <w:tcPr>
            <w:tcW w:w="2366" w:type="dxa"/>
          </w:tcPr>
          <w:p w14:paraId="3943C783"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Parents</w:t>
            </w:r>
          </w:p>
        </w:tc>
        <w:tc>
          <w:tcPr>
            <w:tcW w:w="1320" w:type="dxa"/>
          </w:tcPr>
          <w:p w14:paraId="7849ADC6" w14:textId="77777777" w:rsidR="00DB022E" w:rsidRPr="00E14B62" w:rsidRDefault="00DB022E" w:rsidP="006929F6">
            <w:pPr>
              <w:rPr>
                <w:rFonts w:asciiTheme="majorHAnsi" w:hAnsiTheme="majorHAnsi" w:cstheme="majorHAnsi"/>
                <w:sz w:val="20"/>
                <w:szCs w:val="20"/>
              </w:rPr>
            </w:pPr>
            <w:r w:rsidRPr="00E14B62">
              <w:rPr>
                <w:rFonts w:asciiTheme="majorHAnsi" w:hAnsiTheme="majorHAnsi" w:cstheme="majorHAnsi"/>
                <w:sz w:val="20"/>
                <w:szCs w:val="20"/>
              </w:rPr>
              <w:t>9</w:t>
            </w:r>
          </w:p>
        </w:tc>
      </w:tr>
    </w:tbl>
    <w:p w14:paraId="5E29F2A9" w14:textId="77777777" w:rsidR="000305CD" w:rsidRDefault="000305CD">
      <w:pPr>
        <w:rPr>
          <w:rFonts w:ascii="Calibri" w:hAnsi="Calibri"/>
          <w:sz w:val="22"/>
        </w:rPr>
      </w:pPr>
    </w:p>
    <w:p w14:paraId="0D583105" w14:textId="78650CA3" w:rsidR="00A16061" w:rsidRPr="00A02DC3" w:rsidRDefault="005C2F74" w:rsidP="00A16061">
      <w:pPr>
        <w:pStyle w:val="Heading1"/>
      </w:pPr>
      <w:r>
        <w:t>Sequence of the unit</w:t>
      </w:r>
    </w:p>
    <w:p w14:paraId="283C0778" w14:textId="3F7A7667" w:rsidR="00081BC1" w:rsidRPr="00DC263C" w:rsidRDefault="005C2F74" w:rsidP="00081BC1">
      <w:pPr>
        <w:pStyle w:val="Introductiontext"/>
        <w:rPr>
          <w:rFonts w:asciiTheme="majorHAnsi" w:hAnsiTheme="majorHAnsi" w:cstheme="majorHAnsi"/>
          <w:sz w:val="22"/>
          <w:szCs w:val="28"/>
        </w:rPr>
      </w:pPr>
      <w:r w:rsidRPr="00DC263C">
        <w:rPr>
          <w:rFonts w:asciiTheme="majorHAnsi" w:hAnsiTheme="majorHAnsi" w:cstheme="majorHAnsi"/>
          <w:sz w:val="22"/>
          <w:szCs w:val="28"/>
        </w:rPr>
        <w:t xml:space="preserve">Once you are familiar with the wider context and each staff member has completed the Capacity Audit, you can then plan out how you will introduce CRL into your school community. This table is a </w:t>
      </w:r>
      <w:r w:rsidRPr="00DC263C">
        <w:rPr>
          <w:rFonts w:asciiTheme="majorHAnsi" w:hAnsiTheme="majorHAnsi" w:cstheme="majorHAnsi"/>
          <w:b/>
          <w:bCs/>
          <w:sz w:val="22"/>
          <w:szCs w:val="28"/>
        </w:rPr>
        <w:t>suggested timeframe</w:t>
      </w:r>
      <w:r w:rsidRPr="00DC263C">
        <w:rPr>
          <w:rFonts w:asciiTheme="majorHAnsi" w:hAnsiTheme="majorHAnsi" w:cstheme="majorHAnsi"/>
          <w:sz w:val="22"/>
          <w:szCs w:val="28"/>
        </w:rPr>
        <w:t xml:space="preserve"> and gives an idea of how it could be sequenced in your school. </w:t>
      </w:r>
    </w:p>
    <w:tbl>
      <w:tblPr>
        <w:tblStyle w:val="TableGrid"/>
        <w:tblW w:w="0" w:type="auto"/>
        <w:tblLook w:val="04A0" w:firstRow="1" w:lastRow="0" w:firstColumn="1" w:lastColumn="0" w:noHBand="0" w:noVBand="1"/>
      </w:tblPr>
      <w:tblGrid>
        <w:gridCol w:w="1251"/>
        <w:gridCol w:w="7442"/>
        <w:gridCol w:w="1037"/>
      </w:tblGrid>
      <w:tr w:rsidR="005C2F74" w14:paraId="3EA3B696" w14:textId="77777777" w:rsidTr="00DC263C">
        <w:tc>
          <w:tcPr>
            <w:tcW w:w="1271" w:type="dxa"/>
          </w:tcPr>
          <w:p w14:paraId="234F5ED7" w14:textId="77777777" w:rsidR="005C2F74" w:rsidRPr="005C2F74" w:rsidRDefault="005C2F74" w:rsidP="005C2F74">
            <w:pPr>
              <w:pStyle w:val="Heading2"/>
              <w:outlineLvl w:val="1"/>
              <w:rPr>
                <w:sz w:val="20"/>
                <w:szCs w:val="20"/>
              </w:rPr>
            </w:pPr>
          </w:p>
        </w:tc>
        <w:tc>
          <w:tcPr>
            <w:tcW w:w="7655" w:type="dxa"/>
          </w:tcPr>
          <w:p w14:paraId="36F61D6C" w14:textId="5EC1218F" w:rsidR="005C2F74" w:rsidRPr="005C2F74" w:rsidRDefault="005C2F74" w:rsidP="005C2F74">
            <w:pPr>
              <w:pStyle w:val="Heading2"/>
              <w:outlineLvl w:val="1"/>
              <w:rPr>
                <w:sz w:val="20"/>
                <w:szCs w:val="20"/>
              </w:rPr>
            </w:pPr>
            <w:r w:rsidRPr="005C2F74">
              <w:rPr>
                <w:sz w:val="20"/>
                <w:szCs w:val="20"/>
              </w:rPr>
              <w:t>Activities</w:t>
            </w:r>
          </w:p>
        </w:tc>
        <w:tc>
          <w:tcPr>
            <w:tcW w:w="804" w:type="dxa"/>
          </w:tcPr>
          <w:p w14:paraId="1AD37E5F" w14:textId="51B8BB00" w:rsidR="005C2F74" w:rsidRPr="005C2F74" w:rsidRDefault="005C2F74" w:rsidP="005C2F74">
            <w:pPr>
              <w:pStyle w:val="Heading2"/>
              <w:outlineLvl w:val="1"/>
              <w:rPr>
                <w:sz w:val="20"/>
                <w:szCs w:val="20"/>
              </w:rPr>
            </w:pPr>
            <w:r w:rsidRPr="005C2F74">
              <w:rPr>
                <w:sz w:val="20"/>
                <w:szCs w:val="20"/>
              </w:rPr>
              <w:t>Resources</w:t>
            </w:r>
          </w:p>
        </w:tc>
      </w:tr>
      <w:tr w:rsidR="005C2F74" w14:paraId="13AB061E" w14:textId="77777777" w:rsidTr="00DC263C">
        <w:tc>
          <w:tcPr>
            <w:tcW w:w="1271" w:type="dxa"/>
          </w:tcPr>
          <w:p w14:paraId="2A1A6E22" w14:textId="2A40122F" w:rsidR="005C2F74" w:rsidRPr="005C2F74" w:rsidRDefault="005C2F74" w:rsidP="005C2F74">
            <w:pPr>
              <w:pStyle w:val="Heading2"/>
              <w:outlineLvl w:val="1"/>
              <w:rPr>
                <w:sz w:val="20"/>
                <w:szCs w:val="20"/>
              </w:rPr>
            </w:pPr>
            <w:r w:rsidRPr="005C2F74">
              <w:rPr>
                <w:sz w:val="20"/>
                <w:szCs w:val="20"/>
              </w:rPr>
              <w:t>Week 1</w:t>
            </w:r>
          </w:p>
        </w:tc>
        <w:tc>
          <w:tcPr>
            <w:tcW w:w="7655" w:type="dxa"/>
          </w:tcPr>
          <w:p w14:paraId="7A2E7088" w14:textId="77777777" w:rsidR="00BC6588" w:rsidRDefault="005C2F74" w:rsidP="00BC6588">
            <w:pPr>
              <w:pStyle w:val="Heading2"/>
              <w:outlineLvl w:val="1"/>
              <w:rPr>
                <w:sz w:val="20"/>
                <w:szCs w:val="20"/>
              </w:rPr>
            </w:pPr>
            <w:r w:rsidRPr="005C2F74">
              <w:rPr>
                <w:sz w:val="20"/>
                <w:szCs w:val="20"/>
              </w:rPr>
              <w:t>Staff meeting: Why Careers Related Learning?</w:t>
            </w:r>
            <w:r w:rsidR="00BC6588">
              <w:rPr>
                <w:sz w:val="20"/>
                <w:szCs w:val="20"/>
              </w:rPr>
              <w:t xml:space="preserve"> </w:t>
            </w:r>
          </w:p>
          <w:p w14:paraId="52FFCB91" w14:textId="532C2A74" w:rsidR="005C2F74" w:rsidRPr="005C2F74" w:rsidRDefault="00BC6588" w:rsidP="00BC6588">
            <w:pPr>
              <w:pStyle w:val="Heading2"/>
              <w:outlineLvl w:val="1"/>
            </w:pPr>
            <w:r>
              <w:rPr>
                <w:sz w:val="20"/>
                <w:szCs w:val="20"/>
              </w:rPr>
              <w:t xml:space="preserve">The presentation introduces the theory and issues. Staff should then have time to review their curriculum to look for opportunities to embed CRL. </w:t>
            </w:r>
          </w:p>
        </w:tc>
        <w:tc>
          <w:tcPr>
            <w:tcW w:w="804" w:type="dxa"/>
          </w:tcPr>
          <w:p w14:paraId="3A3162E0" w14:textId="291EEB2B" w:rsidR="005C2F74" w:rsidRPr="005C2F74" w:rsidRDefault="00DC263C" w:rsidP="005C2F74">
            <w:pPr>
              <w:pStyle w:val="Heading2"/>
              <w:outlineLvl w:val="1"/>
              <w:rPr>
                <w:sz w:val="20"/>
                <w:szCs w:val="20"/>
              </w:rPr>
            </w:pPr>
            <w:r>
              <w:rPr>
                <w:sz w:val="20"/>
                <w:szCs w:val="20"/>
              </w:rPr>
              <w:t>1,3</w:t>
            </w:r>
          </w:p>
        </w:tc>
      </w:tr>
      <w:tr w:rsidR="005C2F74" w14:paraId="37F6CA07" w14:textId="77777777" w:rsidTr="00DC263C">
        <w:tc>
          <w:tcPr>
            <w:tcW w:w="1271" w:type="dxa"/>
          </w:tcPr>
          <w:p w14:paraId="23165F1A" w14:textId="19C2AEDE" w:rsidR="005C2F74" w:rsidRPr="005C2F74" w:rsidRDefault="005C2F74" w:rsidP="005C2F74">
            <w:pPr>
              <w:pStyle w:val="Heading2"/>
              <w:outlineLvl w:val="1"/>
              <w:rPr>
                <w:sz w:val="20"/>
                <w:szCs w:val="20"/>
              </w:rPr>
            </w:pPr>
            <w:r w:rsidRPr="005C2F74">
              <w:rPr>
                <w:sz w:val="20"/>
                <w:szCs w:val="20"/>
              </w:rPr>
              <w:t>Week 2</w:t>
            </w:r>
          </w:p>
        </w:tc>
        <w:tc>
          <w:tcPr>
            <w:tcW w:w="7655" w:type="dxa"/>
          </w:tcPr>
          <w:p w14:paraId="2C4B36BF" w14:textId="1A14A881" w:rsidR="00DC263C" w:rsidRPr="00DC263C" w:rsidRDefault="00DC263C" w:rsidP="00DC263C">
            <w:pPr>
              <w:pStyle w:val="Heading2"/>
              <w:outlineLvl w:val="1"/>
              <w:rPr>
                <w:sz w:val="20"/>
                <w:szCs w:val="20"/>
              </w:rPr>
            </w:pPr>
            <w:r>
              <w:rPr>
                <w:sz w:val="20"/>
                <w:szCs w:val="20"/>
              </w:rPr>
              <w:t xml:space="preserve">Assembly: An Introduction to Careers </w:t>
            </w:r>
          </w:p>
        </w:tc>
        <w:tc>
          <w:tcPr>
            <w:tcW w:w="804" w:type="dxa"/>
          </w:tcPr>
          <w:p w14:paraId="5C80101B" w14:textId="64DA1418" w:rsidR="005C2F74" w:rsidRPr="005C2F74" w:rsidRDefault="00DC263C" w:rsidP="005C2F74">
            <w:pPr>
              <w:pStyle w:val="Heading2"/>
              <w:outlineLvl w:val="1"/>
              <w:rPr>
                <w:sz w:val="20"/>
                <w:szCs w:val="20"/>
              </w:rPr>
            </w:pPr>
            <w:r>
              <w:rPr>
                <w:sz w:val="20"/>
                <w:szCs w:val="20"/>
              </w:rPr>
              <w:t>2</w:t>
            </w:r>
          </w:p>
        </w:tc>
      </w:tr>
      <w:tr w:rsidR="005C2F74" w14:paraId="36793997" w14:textId="77777777" w:rsidTr="00DC263C">
        <w:tc>
          <w:tcPr>
            <w:tcW w:w="1271" w:type="dxa"/>
          </w:tcPr>
          <w:p w14:paraId="11B14FCE" w14:textId="150D65FB" w:rsidR="005C2F74" w:rsidRPr="005C2F74" w:rsidRDefault="005C2F74" w:rsidP="005C2F74">
            <w:pPr>
              <w:pStyle w:val="Heading2"/>
              <w:outlineLvl w:val="1"/>
              <w:rPr>
                <w:sz w:val="20"/>
                <w:szCs w:val="20"/>
              </w:rPr>
            </w:pPr>
            <w:r w:rsidRPr="005C2F74">
              <w:rPr>
                <w:sz w:val="20"/>
                <w:szCs w:val="20"/>
              </w:rPr>
              <w:t>Week 3</w:t>
            </w:r>
          </w:p>
        </w:tc>
        <w:tc>
          <w:tcPr>
            <w:tcW w:w="7655" w:type="dxa"/>
          </w:tcPr>
          <w:p w14:paraId="5A4F3C78" w14:textId="4D76B9E0" w:rsidR="005C2F74" w:rsidRPr="005C2F74" w:rsidRDefault="00DC263C" w:rsidP="005C2F74">
            <w:pPr>
              <w:pStyle w:val="Heading2"/>
              <w:outlineLvl w:val="1"/>
              <w:rPr>
                <w:sz w:val="20"/>
                <w:szCs w:val="20"/>
              </w:rPr>
            </w:pPr>
            <w:r>
              <w:rPr>
                <w:sz w:val="20"/>
                <w:szCs w:val="20"/>
              </w:rPr>
              <w:t>Parent Meeting: Careers and Aspiration</w:t>
            </w:r>
          </w:p>
        </w:tc>
        <w:tc>
          <w:tcPr>
            <w:tcW w:w="804" w:type="dxa"/>
          </w:tcPr>
          <w:p w14:paraId="2CCFAEFF" w14:textId="474F5568" w:rsidR="005C2F74" w:rsidRPr="005C2F74" w:rsidRDefault="00DC263C" w:rsidP="005C2F74">
            <w:pPr>
              <w:pStyle w:val="Heading2"/>
              <w:outlineLvl w:val="1"/>
              <w:rPr>
                <w:sz w:val="20"/>
                <w:szCs w:val="20"/>
              </w:rPr>
            </w:pPr>
            <w:r>
              <w:rPr>
                <w:sz w:val="20"/>
                <w:szCs w:val="20"/>
              </w:rPr>
              <w:t>4,5,9</w:t>
            </w:r>
          </w:p>
        </w:tc>
      </w:tr>
      <w:tr w:rsidR="005C2F74" w14:paraId="6CE13AD4" w14:textId="77777777" w:rsidTr="00DC263C">
        <w:tc>
          <w:tcPr>
            <w:tcW w:w="1271" w:type="dxa"/>
          </w:tcPr>
          <w:p w14:paraId="63A31E3C" w14:textId="39F2671C" w:rsidR="005C2F74" w:rsidRPr="005C2F74" w:rsidRDefault="005C2F74" w:rsidP="005C2F74">
            <w:pPr>
              <w:pStyle w:val="Heading2"/>
              <w:outlineLvl w:val="1"/>
              <w:rPr>
                <w:sz w:val="20"/>
                <w:szCs w:val="20"/>
              </w:rPr>
            </w:pPr>
            <w:r w:rsidRPr="005C2F74">
              <w:rPr>
                <w:sz w:val="20"/>
                <w:szCs w:val="20"/>
              </w:rPr>
              <w:t>Week 4</w:t>
            </w:r>
          </w:p>
        </w:tc>
        <w:tc>
          <w:tcPr>
            <w:tcW w:w="7655" w:type="dxa"/>
          </w:tcPr>
          <w:p w14:paraId="03CBCF79" w14:textId="5B619BD8" w:rsidR="00DC263C" w:rsidRPr="00DC263C" w:rsidRDefault="00DC263C" w:rsidP="00DC263C">
            <w:pPr>
              <w:pStyle w:val="Heading2"/>
              <w:outlineLvl w:val="1"/>
              <w:rPr>
                <w:sz w:val="20"/>
                <w:szCs w:val="20"/>
              </w:rPr>
            </w:pPr>
            <w:r>
              <w:rPr>
                <w:sz w:val="20"/>
                <w:szCs w:val="20"/>
              </w:rPr>
              <w:t>Have I got skills for you (short game within staff meeting) followed by some time to check in with CRL plans</w:t>
            </w:r>
          </w:p>
        </w:tc>
        <w:tc>
          <w:tcPr>
            <w:tcW w:w="804" w:type="dxa"/>
          </w:tcPr>
          <w:p w14:paraId="3CE3091C" w14:textId="498C4BF9" w:rsidR="005C2F74" w:rsidRPr="005C2F74" w:rsidRDefault="00DC263C" w:rsidP="005C2F74">
            <w:pPr>
              <w:pStyle w:val="Heading2"/>
              <w:outlineLvl w:val="1"/>
              <w:rPr>
                <w:sz w:val="20"/>
                <w:szCs w:val="20"/>
              </w:rPr>
            </w:pPr>
            <w:r>
              <w:rPr>
                <w:sz w:val="20"/>
                <w:szCs w:val="20"/>
              </w:rPr>
              <w:t>7</w:t>
            </w:r>
          </w:p>
        </w:tc>
      </w:tr>
      <w:tr w:rsidR="005C2F74" w14:paraId="485375B5" w14:textId="77777777" w:rsidTr="00DC263C">
        <w:tc>
          <w:tcPr>
            <w:tcW w:w="1271" w:type="dxa"/>
          </w:tcPr>
          <w:p w14:paraId="179AD80C" w14:textId="1ADA6599" w:rsidR="005C2F74" w:rsidRPr="005C2F74" w:rsidRDefault="005C2F74" w:rsidP="005C2F74">
            <w:pPr>
              <w:pStyle w:val="Heading2"/>
              <w:outlineLvl w:val="1"/>
              <w:rPr>
                <w:sz w:val="20"/>
                <w:szCs w:val="20"/>
              </w:rPr>
            </w:pPr>
            <w:r w:rsidRPr="005C2F74">
              <w:rPr>
                <w:sz w:val="20"/>
                <w:szCs w:val="20"/>
              </w:rPr>
              <w:t>Week 5</w:t>
            </w:r>
          </w:p>
        </w:tc>
        <w:tc>
          <w:tcPr>
            <w:tcW w:w="7655" w:type="dxa"/>
          </w:tcPr>
          <w:p w14:paraId="2A5EEFBF" w14:textId="4FCCA27D" w:rsidR="005C2F74" w:rsidRPr="005C2F74" w:rsidRDefault="00DC263C" w:rsidP="005C2F74">
            <w:pPr>
              <w:pStyle w:val="Heading2"/>
              <w:outlineLvl w:val="1"/>
              <w:rPr>
                <w:sz w:val="20"/>
                <w:szCs w:val="20"/>
              </w:rPr>
            </w:pPr>
            <w:r>
              <w:rPr>
                <w:sz w:val="20"/>
                <w:szCs w:val="20"/>
              </w:rPr>
              <w:t>Parent and Child STEM Workshop</w:t>
            </w:r>
          </w:p>
        </w:tc>
        <w:tc>
          <w:tcPr>
            <w:tcW w:w="804" w:type="dxa"/>
          </w:tcPr>
          <w:p w14:paraId="17202C62" w14:textId="264B7D74" w:rsidR="005C2F74" w:rsidRPr="005C2F74" w:rsidRDefault="00DC263C" w:rsidP="005C2F74">
            <w:pPr>
              <w:pStyle w:val="Heading2"/>
              <w:outlineLvl w:val="1"/>
              <w:rPr>
                <w:sz w:val="20"/>
                <w:szCs w:val="20"/>
              </w:rPr>
            </w:pPr>
            <w:r>
              <w:rPr>
                <w:sz w:val="20"/>
                <w:szCs w:val="20"/>
              </w:rPr>
              <w:t>8</w:t>
            </w:r>
          </w:p>
        </w:tc>
      </w:tr>
      <w:tr w:rsidR="005C2F74" w14:paraId="55E40B76" w14:textId="77777777" w:rsidTr="00DC263C">
        <w:tc>
          <w:tcPr>
            <w:tcW w:w="1271" w:type="dxa"/>
          </w:tcPr>
          <w:p w14:paraId="44D76CE2" w14:textId="6E7AD4E9" w:rsidR="005C2F74" w:rsidRPr="005C2F74" w:rsidRDefault="005C2F74" w:rsidP="005C2F74">
            <w:pPr>
              <w:pStyle w:val="Heading2"/>
              <w:outlineLvl w:val="1"/>
              <w:rPr>
                <w:sz w:val="20"/>
                <w:szCs w:val="20"/>
              </w:rPr>
            </w:pPr>
            <w:r w:rsidRPr="005C2F74">
              <w:rPr>
                <w:sz w:val="20"/>
                <w:szCs w:val="20"/>
              </w:rPr>
              <w:t>Week 6</w:t>
            </w:r>
          </w:p>
        </w:tc>
        <w:tc>
          <w:tcPr>
            <w:tcW w:w="7655" w:type="dxa"/>
          </w:tcPr>
          <w:p w14:paraId="1778E28F" w14:textId="423EBE05" w:rsidR="005C2F74" w:rsidRPr="005C2F74" w:rsidRDefault="00DC263C" w:rsidP="005C2F74">
            <w:pPr>
              <w:pStyle w:val="Heading2"/>
              <w:outlineLvl w:val="1"/>
              <w:rPr>
                <w:sz w:val="20"/>
                <w:szCs w:val="20"/>
              </w:rPr>
            </w:pPr>
            <w:r>
              <w:rPr>
                <w:sz w:val="20"/>
                <w:szCs w:val="20"/>
              </w:rPr>
              <w:t>Staff Meeting: Final Planning Time</w:t>
            </w:r>
          </w:p>
        </w:tc>
        <w:tc>
          <w:tcPr>
            <w:tcW w:w="804" w:type="dxa"/>
          </w:tcPr>
          <w:p w14:paraId="1398543B" w14:textId="77777777" w:rsidR="005C2F74" w:rsidRPr="005C2F74" w:rsidRDefault="005C2F74" w:rsidP="005C2F74">
            <w:pPr>
              <w:pStyle w:val="Heading2"/>
              <w:outlineLvl w:val="1"/>
              <w:rPr>
                <w:sz w:val="20"/>
                <w:szCs w:val="20"/>
              </w:rPr>
            </w:pPr>
          </w:p>
        </w:tc>
      </w:tr>
    </w:tbl>
    <w:p w14:paraId="6EC81FFE" w14:textId="77777777" w:rsidR="00A80F05" w:rsidRDefault="00A80F05" w:rsidP="005C2F74">
      <w:pPr>
        <w:pStyle w:val="Heading2"/>
      </w:pPr>
    </w:p>
    <w:p w14:paraId="45D1B501" w14:textId="4D3F02FA" w:rsidR="006D6FD8" w:rsidRDefault="00DC263C" w:rsidP="00DC263C">
      <w:pPr>
        <w:rPr>
          <w:rFonts w:asciiTheme="minorHAnsi" w:hAnsiTheme="minorHAnsi"/>
        </w:rPr>
      </w:pPr>
      <w:r w:rsidRPr="00DC263C">
        <w:rPr>
          <w:rFonts w:asciiTheme="minorHAnsi" w:hAnsiTheme="minorHAnsi"/>
        </w:rPr>
        <w:t>SEND/ EAL</w:t>
      </w:r>
    </w:p>
    <w:p w14:paraId="05620F75" w14:textId="1DF7BECB" w:rsidR="00DC263C" w:rsidRDefault="00DC263C" w:rsidP="00DC263C">
      <w:pPr>
        <w:rPr>
          <w:rFonts w:asciiTheme="minorHAnsi" w:hAnsiTheme="minorHAnsi"/>
        </w:rPr>
      </w:pPr>
    </w:p>
    <w:p w14:paraId="298850DC" w14:textId="78CDCBC7" w:rsidR="00061494" w:rsidRPr="00DC263C" w:rsidRDefault="00061494" w:rsidP="00DC263C">
      <w:pPr>
        <w:rPr>
          <w:rFonts w:asciiTheme="majorHAnsi" w:hAnsiTheme="majorHAnsi"/>
          <w:sz w:val="22"/>
          <w:szCs w:val="22"/>
        </w:rPr>
      </w:pPr>
      <w:r>
        <w:rPr>
          <w:rFonts w:asciiTheme="majorHAnsi" w:hAnsiTheme="majorHAnsi"/>
          <w:sz w:val="22"/>
          <w:szCs w:val="22"/>
        </w:rPr>
        <w:t xml:space="preserve">In order to support children with SEND/ EAL you may wish to introduce the assembly within a smaller group to allow time for questions and further explanation. The parent and child workshop should be suitable for all children, but you might find it useful to share the instructions in advance with parents of children with additional needs, in case they can foresee any challenges. </w:t>
      </w:r>
    </w:p>
    <w:p w14:paraId="3BED1FEB" w14:textId="77777777" w:rsidR="00766750" w:rsidRDefault="00766750" w:rsidP="006D6FD8">
      <w:pPr>
        <w:pStyle w:val="ListBullet2"/>
      </w:pPr>
    </w:p>
    <w:sectPr w:rsidR="00766750" w:rsidSect="00CC32F9">
      <w:headerReference w:type="even" r:id="rId15"/>
      <w:headerReference w:type="default" r:id="rId16"/>
      <w:footerReference w:type="even" r:id="rId17"/>
      <w:footerReference w:type="default" r:id="rId18"/>
      <w:headerReference w:type="first" r:id="rId19"/>
      <w:footerReference w:type="first" r:id="rId20"/>
      <w:pgSz w:w="11900" w:h="16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91C35" w14:textId="77777777" w:rsidR="004D26EF" w:rsidRDefault="004D26EF" w:rsidP="008A38B0">
      <w:r>
        <w:separator/>
      </w:r>
    </w:p>
  </w:endnote>
  <w:endnote w:type="continuationSeparator" w:id="0">
    <w:p w14:paraId="0527A1A9" w14:textId="77777777" w:rsidR="004D26EF" w:rsidRDefault="004D26EF"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D7CE" w14:textId="77777777" w:rsidR="00D26938" w:rsidRDefault="00D26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8270" w14:textId="77777777" w:rsidR="00D26938" w:rsidRDefault="00D26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F679" w14:textId="77777777" w:rsidR="00D26938" w:rsidRDefault="00D2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8348" w14:textId="77777777" w:rsidR="004D26EF" w:rsidRDefault="004D26EF" w:rsidP="008A38B0">
      <w:r>
        <w:separator/>
      </w:r>
    </w:p>
  </w:footnote>
  <w:footnote w:type="continuationSeparator" w:id="0">
    <w:p w14:paraId="70EDC223" w14:textId="77777777" w:rsidR="004D26EF" w:rsidRDefault="004D26EF"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D095" w14:textId="77777777" w:rsidR="003827B6" w:rsidRDefault="00DB022E">
    <w:pPr>
      <w:pStyle w:val="Header"/>
    </w:pPr>
    <w:r>
      <w:rPr>
        <w:noProof/>
      </w:rPr>
      <w:pict w14:anchorId="134E6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8BD2" w14:textId="7F724B7E" w:rsidR="00A16061" w:rsidRDefault="00D26938" w:rsidP="00A16061">
    <w:pPr>
      <w:tabs>
        <w:tab w:val="center" w:pos="4870"/>
      </w:tabs>
      <w:jc w:val="right"/>
    </w:pPr>
    <w:r>
      <w:rPr>
        <w:noProof/>
      </w:rPr>
      <w:drawing>
        <wp:inline distT="0" distB="0" distL="0" distR="0" wp14:anchorId="0EADB72A" wp14:editId="3958875F">
          <wp:extent cx="590550" cy="590550"/>
          <wp:effectExtent l="0" t="0" r="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Sussex%20careers%20hub%20logo%20high%20res.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A16061">
      <w:t xml:space="preserve">  </w:t>
    </w:r>
    <w:r>
      <w:rPr>
        <w:noProof/>
        <w:lang w:eastAsia="en-GB"/>
      </w:rPr>
      <w:drawing>
        <wp:inline distT="0" distB="0" distL="0" distR="0" wp14:anchorId="5EC7162F" wp14:editId="16AAFB31">
          <wp:extent cx="814187" cy="615950"/>
          <wp:effectExtent l="0" t="0" r="508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c-logo.jpg"/>
                  <pic:cNvPicPr/>
                </pic:nvPicPr>
                <pic:blipFill rotWithShape="1">
                  <a:blip r:embed="rId2">
                    <a:extLst>
                      <a:ext uri="{28A0092B-C50C-407E-A947-70E740481C1C}">
                        <a14:useLocalDpi xmlns:a14="http://schemas.microsoft.com/office/drawing/2010/main" val="0"/>
                      </a:ext>
                    </a:extLst>
                  </a:blip>
                  <a:srcRect l="24904" t="20153" r="25509" b="19831"/>
                  <a:stretch/>
                </pic:blipFill>
                <pic:spPr bwMode="auto">
                  <a:xfrm>
                    <a:off x="0" y="0"/>
                    <a:ext cx="817283" cy="618293"/>
                  </a:xfrm>
                  <a:prstGeom prst="rect">
                    <a:avLst/>
                  </a:prstGeom>
                  <a:ln>
                    <a:noFill/>
                  </a:ln>
                  <a:extLst>
                    <a:ext uri="{53640926-AAD7-44D8-BBD7-CCE9431645EC}">
                      <a14:shadowObscured xmlns:a14="http://schemas.microsoft.com/office/drawing/2010/main"/>
                    </a:ext>
                  </a:extLst>
                </pic:spPr>
              </pic:pic>
            </a:graphicData>
          </a:graphic>
        </wp:inline>
      </w:drawing>
    </w:r>
    <w:r w:rsidR="00A16061">
      <w:t xml:space="preserve">  </w:t>
    </w:r>
    <w:r w:rsidR="00A16061">
      <w:rPr>
        <w:noProof/>
        <w:lang w:eastAsia="en-GB"/>
      </w:rPr>
      <w:drawing>
        <wp:inline distT="0" distB="0" distL="0" distR="0" wp14:anchorId="41E3CF39" wp14:editId="5B91917A">
          <wp:extent cx="1116717" cy="452483"/>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A16061">
      <w:tab/>
    </w:r>
  </w:p>
  <w:p w14:paraId="3783E19D" w14:textId="77777777" w:rsidR="008A38B0" w:rsidRDefault="00E07A7A">
    <w:r>
      <w:rPr>
        <w:noProof/>
        <w:lang w:eastAsia="en-GB"/>
      </w:rPr>
      <w:drawing>
        <wp:anchor distT="0" distB="0" distL="114300" distR="114300" simplePos="0" relativeHeight="251656704" behindDoc="1" locked="0" layoutInCell="1" allowOverlap="1" wp14:anchorId="7A86D201" wp14:editId="213364A7">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59731435" w14:textId="77777777" w:rsidR="0089793F" w:rsidRDefault="0089793F"/>
  <w:p w14:paraId="2EDB1CBB"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6D1" w14:textId="6B861025" w:rsidR="003467E6" w:rsidRDefault="00872C45" w:rsidP="00081C49">
    <w:pPr>
      <w:tabs>
        <w:tab w:val="center" w:pos="4870"/>
      </w:tabs>
      <w:jc w:val="right"/>
    </w:pPr>
    <w:r>
      <w:rPr>
        <w:noProof/>
        <w:lang w:eastAsia="en-GB"/>
      </w:rPr>
      <w:drawing>
        <wp:anchor distT="0" distB="0" distL="114300" distR="114300" simplePos="0" relativeHeight="251657728" behindDoc="1" locked="0" layoutInCell="1" allowOverlap="1" wp14:anchorId="333CE632" wp14:editId="6B2CEED0">
          <wp:simplePos x="0" y="0"/>
          <wp:positionH relativeFrom="column">
            <wp:posOffset>-688340</wp:posOffset>
          </wp:positionH>
          <wp:positionV relativeFrom="paragraph">
            <wp:posOffset>-453390</wp:posOffset>
          </wp:positionV>
          <wp:extent cx="8391525" cy="1185481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91525" cy="11854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25B14A9" wp14:editId="79FA8A19">
          <wp:extent cx="590550" cy="5905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Sussex%20careers%20hub%20logo%20high%20res.png"/>
                  <pic:cNvPicPr/>
                </pic:nvPicPr>
                <pic:blipFill>
                  <a:blip r:embed="rId2">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3467E6">
      <w:t xml:space="preserve">  </w:t>
    </w:r>
    <w:r>
      <w:rPr>
        <w:noProof/>
        <w:lang w:eastAsia="en-GB"/>
      </w:rPr>
      <w:drawing>
        <wp:inline distT="0" distB="0" distL="0" distR="0" wp14:anchorId="3AC43556" wp14:editId="28A8DF54">
          <wp:extent cx="814187" cy="615950"/>
          <wp:effectExtent l="0" t="0" r="508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c-logo.jpg"/>
                  <pic:cNvPicPr/>
                </pic:nvPicPr>
                <pic:blipFill rotWithShape="1">
                  <a:blip r:embed="rId3">
                    <a:extLst>
                      <a:ext uri="{28A0092B-C50C-407E-A947-70E740481C1C}">
                        <a14:useLocalDpi xmlns:a14="http://schemas.microsoft.com/office/drawing/2010/main" val="0"/>
                      </a:ext>
                    </a:extLst>
                  </a:blip>
                  <a:srcRect l="24904" t="20153" r="25509" b="19831"/>
                  <a:stretch/>
                </pic:blipFill>
                <pic:spPr bwMode="auto">
                  <a:xfrm>
                    <a:off x="0" y="0"/>
                    <a:ext cx="817283" cy="618293"/>
                  </a:xfrm>
                  <a:prstGeom prst="rect">
                    <a:avLst/>
                  </a:prstGeom>
                  <a:ln>
                    <a:noFill/>
                  </a:ln>
                  <a:extLst>
                    <a:ext uri="{53640926-AAD7-44D8-BBD7-CCE9431645EC}">
                      <a14:shadowObscured xmlns:a14="http://schemas.microsoft.com/office/drawing/2010/main"/>
                    </a:ext>
                  </a:extLst>
                </pic:spPr>
              </pic:pic>
            </a:graphicData>
          </a:graphic>
        </wp:inline>
      </w:drawing>
    </w:r>
    <w:r w:rsidR="00A16061">
      <w:t xml:space="preserve">  </w:t>
    </w:r>
    <w:r w:rsidR="003467E6">
      <w:rPr>
        <w:noProof/>
        <w:lang w:eastAsia="en-GB"/>
      </w:rPr>
      <w:drawing>
        <wp:inline distT="0" distB="0" distL="0" distR="0" wp14:anchorId="55A8C187" wp14:editId="46152DC3">
          <wp:extent cx="1116717" cy="452483"/>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4">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081C49">
      <w:tab/>
    </w:r>
  </w:p>
  <w:p w14:paraId="4D484BF9" w14:textId="77777777" w:rsidR="00CC32F9" w:rsidRDefault="004B063E">
    <w:pPr>
      <w:pStyle w:val="Header"/>
    </w:pPr>
    <w:r>
      <w:t xml:space="preserve">     </w:t>
    </w:r>
  </w:p>
  <w:p w14:paraId="69976699"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911D6"/>
    <w:multiLevelType w:val="hybridMultilevel"/>
    <w:tmpl w:val="29143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067BAC"/>
    <w:multiLevelType w:val="hybridMultilevel"/>
    <w:tmpl w:val="911A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EE6836"/>
    <w:multiLevelType w:val="hybridMultilevel"/>
    <w:tmpl w:val="438C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78"/>
    <w:rsid w:val="00010412"/>
    <w:rsid w:val="000305CD"/>
    <w:rsid w:val="0004309E"/>
    <w:rsid w:val="000500C5"/>
    <w:rsid w:val="000503CA"/>
    <w:rsid w:val="0005040B"/>
    <w:rsid w:val="000543B4"/>
    <w:rsid w:val="00061494"/>
    <w:rsid w:val="00071CCB"/>
    <w:rsid w:val="00081BC1"/>
    <w:rsid w:val="00081C49"/>
    <w:rsid w:val="000A56FD"/>
    <w:rsid w:val="00127D71"/>
    <w:rsid w:val="0013473A"/>
    <w:rsid w:val="00173049"/>
    <w:rsid w:val="00262A93"/>
    <w:rsid w:val="00285864"/>
    <w:rsid w:val="0031764F"/>
    <w:rsid w:val="00335637"/>
    <w:rsid w:val="003467E6"/>
    <w:rsid w:val="003827B6"/>
    <w:rsid w:val="003A5150"/>
    <w:rsid w:val="003E12F6"/>
    <w:rsid w:val="003E48DF"/>
    <w:rsid w:val="003F6FD2"/>
    <w:rsid w:val="004450C8"/>
    <w:rsid w:val="004B063E"/>
    <w:rsid w:val="004D26EF"/>
    <w:rsid w:val="004D6B50"/>
    <w:rsid w:val="004E0FA9"/>
    <w:rsid w:val="004E56E6"/>
    <w:rsid w:val="005C2F74"/>
    <w:rsid w:val="005F4DB5"/>
    <w:rsid w:val="006057AD"/>
    <w:rsid w:val="006D6FD8"/>
    <w:rsid w:val="00766750"/>
    <w:rsid w:val="007753C3"/>
    <w:rsid w:val="007E3A43"/>
    <w:rsid w:val="007F680C"/>
    <w:rsid w:val="00807C33"/>
    <w:rsid w:val="0083451F"/>
    <w:rsid w:val="00841E7D"/>
    <w:rsid w:val="00851094"/>
    <w:rsid w:val="00866882"/>
    <w:rsid w:val="00872C45"/>
    <w:rsid w:val="008754F9"/>
    <w:rsid w:val="0089632C"/>
    <w:rsid w:val="0089793F"/>
    <w:rsid w:val="008A38B0"/>
    <w:rsid w:val="008B0598"/>
    <w:rsid w:val="008B383D"/>
    <w:rsid w:val="009C5CA2"/>
    <w:rsid w:val="009E1A78"/>
    <w:rsid w:val="00A02DC3"/>
    <w:rsid w:val="00A16061"/>
    <w:rsid w:val="00A80F05"/>
    <w:rsid w:val="00A9039E"/>
    <w:rsid w:val="00A9133F"/>
    <w:rsid w:val="00AE2D14"/>
    <w:rsid w:val="00B533CD"/>
    <w:rsid w:val="00BC3CFF"/>
    <w:rsid w:val="00BC6588"/>
    <w:rsid w:val="00BF4868"/>
    <w:rsid w:val="00C43DF6"/>
    <w:rsid w:val="00C661EB"/>
    <w:rsid w:val="00C94405"/>
    <w:rsid w:val="00CC32F9"/>
    <w:rsid w:val="00D078B1"/>
    <w:rsid w:val="00D26938"/>
    <w:rsid w:val="00D72DEB"/>
    <w:rsid w:val="00DB022E"/>
    <w:rsid w:val="00DC263C"/>
    <w:rsid w:val="00DD2B5A"/>
    <w:rsid w:val="00E07A7A"/>
    <w:rsid w:val="00E14B62"/>
    <w:rsid w:val="00EA7F86"/>
    <w:rsid w:val="00F407DE"/>
    <w:rsid w:val="00F61791"/>
    <w:rsid w:val="00F61F30"/>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9D154"/>
  <w14:defaultImageDpi w14:val="32767"/>
  <w15:chartTrackingRefBased/>
  <w15:docId w15:val="{B0193A93-3FF1-4CCC-82DD-54AAF65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5C2F74"/>
    <w:pPr>
      <w:keepNext/>
      <w:keepLines/>
      <w:spacing w:before="120" w:after="120"/>
      <w:outlineLvl w:val="1"/>
    </w:pPr>
    <w:rPr>
      <w:rFonts w:asciiTheme="majorHAnsi" w:eastAsiaTheme="majorEastAsia" w:hAnsiTheme="majorHAnsi" w:cstheme="majorHAnsi"/>
      <w:bCs/>
      <w:color w:val="000000" w:themeColor="text1"/>
      <w:sz w:val="22"/>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F74"/>
    <w:rPr>
      <w:rFonts w:asciiTheme="majorHAnsi" w:eastAsiaTheme="majorEastAsia" w:hAnsiTheme="majorHAnsi" w:cstheme="majorHAnsi"/>
      <w:bCs/>
      <w:color w:val="000000" w:themeColor="text1"/>
      <w:sz w:val="22"/>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6D6FD8"/>
    <w:pPr>
      <w:spacing w:before="120" w:after="120"/>
      <w:contextualSpacing/>
    </w:pPr>
    <w:rPr>
      <w:rFonts w:asciiTheme="majorHAnsi" w:hAnsiTheme="majorHAnsi" w:cstheme="majorHAnsi"/>
      <w:szCs w:val="28"/>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table" w:styleId="TableGrid">
    <w:name w:val="Table Grid"/>
    <w:basedOn w:val="TableNormal"/>
    <w:uiPriority w:val="39"/>
    <w:rsid w:val="000305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05"/>
    <w:rPr>
      <w:color w:val="0563C1" w:themeColor="hyperlink"/>
      <w:u w:val="single"/>
    </w:rPr>
  </w:style>
  <w:style w:type="character" w:styleId="UnresolvedMention">
    <w:name w:val="Unresolved Mention"/>
    <w:basedOn w:val="DefaultParagraphFont"/>
    <w:uiPriority w:val="99"/>
    <w:rsid w:val="00A80F05"/>
    <w:rPr>
      <w:color w:val="605E5C"/>
      <w:shd w:val="clear" w:color="auto" w:fill="E1DFDD"/>
    </w:rPr>
  </w:style>
  <w:style w:type="character" w:styleId="CommentReference">
    <w:name w:val="annotation reference"/>
    <w:basedOn w:val="DefaultParagraphFont"/>
    <w:uiPriority w:val="99"/>
    <w:semiHidden/>
    <w:unhideWhenUsed/>
    <w:rsid w:val="008B0598"/>
    <w:rPr>
      <w:sz w:val="16"/>
      <w:szCs w:val="16"/>
    </w:rPr>
  </w:style>
  <w:style w:type="paragraph" w:styleId="CommentText">
    <w:name w:val="annotation text"/>
    <w:basedOn w:val="Normal"/>
    <w:link w:val="CommentTextChar"/>
    <w:uiPriority w:val="99"/>
    <w:semiHidden/>
    <w:unhideWhenUsed/>
    <w:rsid w:val="008B0598"/>
    <w:rPr>
      <w:sz w:val="20"/>
      <w:szCs w:val="20"/>
    </w:rPr>
  </w:style>
  <w:style w:type="character" w:customStyle="1" w:styleId="CommentTextChar">
    <w:name w:val="Comment Text Char"/>
    <w:basedOn w:val="DefaultParagraphFont"/>
    <w:link w:val="CommentText"/>
    <w:uiPriority w:val="99"/>
    <w:semiHidden/>
    <w:rsid w:val="008B0598"/>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8B0598"/>
    <w:rPr>
      <w:b/>
      <w:bCs/>
    </w:rPr>
  </w:style>
  <w:style w:type="character" w:customStyle="1" w:styleId="CommentSubjectChar">
    <w:name w:val="Comment Subject Char"/>
    <w:basedOn w:val="CommentTextChar"/>
    <w:link w:val="CommentSubject"/>
    <w:uiPriority w:val="99"/>
    <w:semiHidden/>
    <w:rsid w:val="008B0598"/>
    <w:rPr>
      <w:rFonts w:ascii="Montserrat Light" w:hAnsi="Montserrat Light"/>
      <w:b/>
      <w:bCs/>
      <w:sz w:val="20"/>
      <w:szCs w:val="20"/>
    </w:rPr>
  </w:style>
  <w:style w:type="paragraph" w:styleId="BalloonText">
    <w:name w:val="Balloon Text"/>
    <w:basedOn w:val="Normal"/>
    <w:link w:val="BalloonTextChar"/>
    <w:uiPriority w:val="99"/>
    <w:semiHidden/>
    <w:unhideWhenUsed/>
    <w:rsid w:val="008B0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98"/>
    <w:rPr>
      <w:rFonts w:ascii="Segoe UI" w:hAnsi="Segoe UI" w:cs="Segoe UI"/>
      <w:sz w:val="18"/>
      <w:szCs w:val="18"/>
    </w:rPr>
  </w:style>
  <w:style w:type="paragraph" w:styleId="ListParagraph">
    <w:name w:val="List Paragraph"/>
    <w:basedOn w:val="Normal"/>
    <w:uiPriority w:val="34"/>
    <w:qFormat/>
    <w:rsid w:val="0031764F"/>
    <w:pPr>
      <w:spacing w:after="160" w:line="259" w:lineRule="auto"/>
      <w:ind w:left="720"/>
      <w:contextualSpacing/>
    </w:pPr>
    <w:rPr>
      <w:rFonts w:asciiTheme="minorHAnsi" w:hAnsiTheme="minorHAnsi"/>
      <w:sz w:val="22"/>
      <w:szCs w:val="22"/>
    </w:rPr>
  </w:style>
  <w:style w:type="character" w:styleId="FollowedHyperlink">
    <w:name w:val="FollowedHyperlink"/>
    <w:basedOn w:val="DefaultParagraphFont"/>
    <w:uiPriority w:val="99"/>
    <w:semiHidden/>
    <w:unhideWhenUsed/>
    <w:rsid w:val="009C5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andemployers.org/wp-content/uploads/2018/01/DrawingTheFutur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reersandenterprise.co.uk/sites/default/files/uploaded/1145_what_works_primary_v7_digit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a.org.uk/press-release/nesta-creates-most-comprehensive-public-map-skills-uk-help-tackle-skill-shortages-ahead-brex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7.pn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hutton\AppData\Local\Microsoft\Windows\INetCache\Content.Outlook\59AK53KJ\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9DA195FB2BD4795D003DD19D66415" ma:contentTypeVersion="2" ma:contentTypeDescription="Create a new document." ma:contentTypeScope="" ma:versionID="edaf31ad3fa637f567c53d4a54b721da">
  <xsd:schema xmlns:xsd="http://www.w3.org/2001/XMLSchema" xmlns:xs="http://www.w3.org/2001/XMLSchema" xmlns:p="http://schemas.microsoft.com/office/2006/metadata/properties" targetNamespace="http://schemas.microsoft.com/office/2006/metadata/properties" ma:root="true" ma:fieldsID="bd06f4e6b77dae5f06e92fde8dc862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B474D-1E34-459E-B1FB-E7079F853DD4}">
  <ds:schemaRefs>
    <ds:schemaRef ds:uri="http://schemas.microsoft.com/sharepoint/v3/contenttype/forms"/>
  </ds:schemaRefs>
</ds:datastoreItem>
</file>

<file path=customXml/itemProps2.xml><?xml version="1.0" encoding="utf-8"?>
<ds:datastoreItem xmlns:ds="http://schemas.openxmlformats.org/officeDocument/2006/customXml" ds:itemID="{E40D2AAC-069A-40E5-AFBA-6A006541C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4B0789-49B0-40AD-A6C2-E43C7604C299}">
  <ds:schemaRefs>
    <ds:schemaRef ds:uri="Microsoft.SharePoint.Taxonomy.ContentTypeSync"/>
  </ds:schemaRefs>
</ds:datastoreItem>
</file>

<file path=customXml/itemProps4.xml><?xml version="1.0" encoding="utf-8"?>
<ds:datastoreItem xmlns:ds="http://schemas.openxmlformats.org/officeDocument/2006/customXml" ds:itemID="{AD707485-61A3-47BF-B0AF-BF7756BC1FFC}">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Hutton</dc:creator>
  <cp:keywords/>
  <dc:description/>
  <cp:lastModifiedBy>Emma  Waring</cp:lastModifiedBy>
  <cp:revision>2</cp:revision>
  <dcterms:created xsi:type="dcterms:W3CDTF">2020-06-22T13:38:00Z</dcterms:created>
  <dcterms:modified xsi:type="dcterms:W3CDTF">2020-06-22T13:38:00Z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0x010100E739DA195FB2BD4795D003DD19D66415</vt:lpwstr>
  </property>
  <property fmtid="{D5CDD505-2E9C-101B-9397-08002B2CF9AE}" pid="3" name="IsMyDocuments">
    <vt:bool>true</vt:bool>
  </property>
</Properties>
</file>