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12D79" w14:textId="77777777" w:rsidR="00993F78" w:rsidRPr="00993F78" w:rsidRDefault="00993F78" w:rsidP="00993F78">
      <w:pPr>
        <w:pStyle w:val="Introductiontext"/>
        <w:rPr>
          <w:b/>
          <w:sz w:val="36"/>
        </w:rPr>
      </w:pPr>
      <w:r w:rsidRPr="00993F78">
        <w:rPr>
          <w:b/>
          <w:sz w:val="36"/>
        </w:rPr>
        <w:t>2. Post employee-encounter. Follow up and goal-setting</w:t>
      </w:r>
    </w:p>
    <w:p w14:paraId="6C4A67FA" w14:textId="77777777" w:rsidR="00993F78" w:rsidRPr="00993F78" w:rsidRDefault="00993F78" w:rsidP="00993F78">
      <w:pPr>
        <w:rPr>
          <w:rFonts w:ascii="Calibri" w:hAnsi="Calibri"/>
        </w:rPr>
      </w:pPr>
      <w:r w:rsidRPr="00993F78">
        <w:rPr>
          <w:rFonts w:ascii="Calibri" w:hAnsi="Calibri"/>
        </w:rPr>
        <w:t>This pair of lessons was developed as part of Eden’s Takeover Day project. These sessions provide a structure to help you get the most out of any employee encounter, whether you’re hosting a visitor in school, or visiting employees in their workplace. During the original project, the children had already met Eden employees during a have-a-go day visit to Eden, however these sessions are designed to work as a standalone or embedded within a wider careers-focused project.</w:t>
      </w:r>
    </w:p>
    <w:p w14:paraId="7D83C6AC" w14:textId="77777777" w:rsidR="008754F9" w:rsidRPr="00993F78" w:rsidRDefault="00993F78" w:rsidP="00A02DC3">
      <w:pPr>
        <w:pStyle w:val="Heading2"/>
        <w:rPr>
          <w:szCs w:val="24"/>
        </w:rPr>
      </w:pPr>
      <w:r w:rsidRPr="00993F78">
        <w:rPr>
          <w:szCs w:val="24"/>
        </w:rPr>
        <w:t>The Task</w:t>
      </w:r>
    </w:p>
    <w:p w14:paraId="4369A135" w14:textId="77777777" w:rsidR="00993F78" w:rsidRPr="00993F78" w:rsidRDefault="00993F78" w:rsidP="00993F78">
      <w:pPr>
        <w:rPr>
          <w:rFonts w:ascii="Calibri" w:hAnsi="Calibri"/>
        </w:rPr>
      </w:pPr>
      <w:r w:rsidRPr="00993F78">
        <w:rPr>
          <w:rFonts w:ascii="Calibri" w:hAnsi="Calibri"/>
        </w:rPr>
        <w:t xml:space="preserve">This session follows the children’s employee interview in which their task was to find out as much as they can about their employee’s ‘career journey’. </w:t>
      </w:r>
    </w:p>
    <w:p w14:paraId="465A374F" w14:textId="77777777" w:rsidR="00993F78" w:rsidRPr="00993F78" w:rsidRDefault="00993F78" w:rsidP="00993F78">
      <w:pPr>
        <w:rPr>
          <w:rFonts w:ascii="Calibri" w:hAnsi="Calibri"/>
        </w:rPr>
      </w:pPr>
    </w:p>
    <w:p w14:paraId="0E08AF5D" w14:textId="77777777" w:rsidR="00993F78" w:rsidRPr="00993F78" w:rsidRDefault="00993F78" w:rsidP="00993F78">
      <w:pPr>
        <w:rPr>
          <w:rFonts w:ascii="Calibri" w:hAnsi="Calibri"/>
          <w:i/>
        </w:rPr>
      </w:pPr>
      <w:r w:rsidRPr="00993F78">
        <w:rPr>
          <w:rFonts w:ascii="Calibri" w:hAnsi="Calibri"/>
          <w:i/>
        </w:rPr>
        <w:t>Career journey = the combination of a person’s education, training and work experience which has led them to their current job.</w:t>
      </w:r>
    </w:p>
    <w:p w14:paraId="7E3C3835" w14:textId="77777777" w:rsidR="00993F78" w:rsidRPr="00993F78" w:rsidRDefault="00993F78" w:rsidP="00993F78">
      <w:pPr>
        <w:rPr>
          <w:rFonts w:ascii="Calibri" w:hAnsi="Calibri"/>
        </w:rPr>
      </w:pPr>
    </w:p>
    <w:p w14:paraId="674536A6" w14:textId="77777777" w:rsidR="00993F78" w:rsidRPr="00993F78" w:rsidRDefault="00993F78" w:rsidP="00993F78">
      <w:pPr>
        <w:rPr>
          <w:rFonts w:ascii="Calibri" w:hAnsi="Calibri"/>
        </w:rPr>
      </w:pPr>
      <w:r w:rsidRPr="00993F78">
        <w:rPr>
          <w:rFonts w:ascii="Calibri" w:hAnsi="Calibri"/>
        </w:rPr>
        <w:t>The aim was to focus in on the sticky bits and the things that didn’t go according to plan as well as the successes. We want the children to gain some wis</w:t>
      </w:r>
      <w:bookmarkStart w:id="0" w:name="_GoBack"/>
      <w:bookmarkEnd w:id="0"/>
      <w:r w:rsidRPr="00993F78">
        <w:rPr>
          <w:rFonts w:ascii="Calibri" w:hAnsi="Calibri"/>
        </w:rPr>
        <w:t>dom and inspiration from their employee about the wider world of work, as well as thinking about the sorts of strategies they can use to 1. Set a goal and put steps/strategies in place to reach that goal and 2. How to get unstuck when you’re stuck.</w:t>
      </w:r>
    </w:p>
    <w:p w14:paraId="654E5FA2" w14:textId="77777777" w:rsidR="00993F78" w:rsidRPr="00993F78" w:rsidRDefault="00993F78" w:rsidP="00993F78">
      <w:pPr>
        <w:rPr>
          <w:rFonts w:ascii="Calibri" w:hAnsi="Calibri"/>
        </w:rPr>
      </w:pPr>
    </w:p>
    <w:p w14:paraId="0AB7C82F" w14:textId="77777777" w:rsidR="00993F78" w:rsidRPr="00993F78" w:rsidRDefault="00993F78" w:rsidP="00993F78">
      <w:pPr>
        <w:rPr>
          <w:rFonts w:ascii="Calibri" w:hAnsi="Calibri"/>
          <w:bCs/>
        </w:rPr>
      </w:pPr>
      <w:r w:rsidRPr="00993F78">
        <w:rPr>
          <w:rFonts w:ascii="Calibri" w:hAnsi="Calibri"/>
          <w:b/>
        </w:rPr>
        <w:t>Goal setting model:</w:t>
      </w:r>
      <w:r w:rsidRPr="00993F78">
        <w:rPr>
          <w:rFonts w:ascii="Calibri" w:hAnsi="Calibri"/>
          <w:bCs/>
        </w:rPr>
        <w:t xml:space="preserve"> the evidence shows that setting goals is important, but that a goal and individual effort alone is not enough. To be successful at changing our behaviour we also need to:</w:t>
      </w:r>
    </w:p>
    <w:p w14:paraId="47876FFE" w14:textId="77777777" w:rsidR="00993F78" w:rsidRPr="00993F78" w:rsidRDefault="00993F78" w:rsidP="00993F78">
      <w:pPr>
        <w:pStyle w:val="ListParagraph"/>
        <w:numPr>
          <w:ilvl w:val="0"/>
          <w:numId w:val="11"/>
        </w:numPr>
        <w:spacing w:after="0" w:line="240" w:lineRule="auto"/>
        <w:rPr>
          <w:rFonts w:ascii="Calibri" w:hAnsi="Calibri"/>
          <w:bCs/>
          <w:sz w:val="24"/>
          <w:szCs w:val="24"/>
        </w:rPr>
      </w:pPr>
      <w:r w:rsidRPr="00993F78">
        <w:rPr>
          <w:rFonts w:ascii="Calibri" w:hAnsi="Calibri"/>
          <w:bCs/>
          <w:sz w:val="24"/>
          <w:szCs w:val="24"/>
        </w:rPr>
        <w:t>recruit the support of others (both as coaches/encouragers and as experts/guides/teachers)</w:t>
      </w:r>
    </w:p>
    <w:p w14:paraId="31E0309A" w14:textId="77777777" w:rsidR="00993F78" w:rsidRPr="00993F78" w:rsidRDefault="00993F78" w:rsidP="00993F78">
      <w:pPr>
        <w:pStyle w:val="ListParagraph"/>
        <w:numPr>
          <w:ilvl w:val="0"/>
          <w:numId w:val="11"/>
        </w:numPr>
        <w:spacing w:after="0" w:line="240" w:lineRule="auto"/>
        <w:rPr>
          <w:rFonts w:ascii="Calibri" w:hAnsi="Calibri"/>
          <w:bCs/>
          <w:sz w:val="24"/>
          <w:szCs w:val="24"/>
        </w:rPr>
      </w:pPr>
      <w:r w:rsidRPr="00993F78">
        <w:rPr>
          <w:rFonts w:ascii="Calibri" w:hAnsi="Calibri"/>
          <w:bCs/>
          <w:sz w:val="24"/>
          <w:szCs w:val="24"/>
        </w:rPr>
        <w:t>look at what aspects of your surroundings you can control to support you (the ‘don’t keep cake in the cupboard when you’re on a diet’ principle)</w:t>
      </w:r>
    </w:p>
    <w:p w14:paraId="00B548CF" w14:textId="77777777" w:rsidR="00993F78" w:rsidRPr="00993F78" w:rsidRDefault="00993F78" w:rsidP="00993F78">
      <w:pPr>
        <w:pStyle w:val="ListParagraph"/>
        <w:spacing w:after="0" w:line="240" w:lineRule="auto"/>
        <w:ind w:left="770"/>
        <w:rPr>
          <w:rFonts w:ascii="Calibri" w:hAnsi="Calibri"/>
          <w:bCs/>
          <w:sz w:val="24"/>
          <w:szCs w:val="24"/>
        </w:rPr>
      </w:pPr>
    </w:p>
    <w:p w14:paraId="45B6DDE7" w14:textId="77777777" w:rsidR="00993F78" w:rsidRPr="00993F78" w:rsidRDefault="00883EF2" w:rsidP="00993F78">
      <w:pPr>
        <w:rPr>
          <w:rFonts w:ascii="Calibri" w:hAnsi="Calibri"/>
          <w:bCs/>
        </w:rPr>
      </w:pPr>
      <w:hyperlink r:id="rId7" w:history="1">
        <w:r w:rsidR="00993F78" w:rsidRPr="00993F78">
          <w:rPr>
            <w:rStyle w:val="Hyperlink"/>
            <w:rFonts w:ascii="Calibri" w:hAnsi="Calibri"/>
            <w:bCs/>
          </w:rPr>
          <w:t>https://www.youtube.com/watch?v=3TX-Nu5wTS8</w:t>
        </w:r>
      </w:hyperlink>
      <w:r w:rsidR="00993F78" w:rsidRPr="00993F78">
        <w:rPr>
          <w:rFonts w:ascii="Calibri" w:hAnsi="Calibri"/>
          <w:bCs/>
        </w:rPr>
        <w:t xml:space="preserve"> Al </w:t>
      </w:r>
      <w:proofErr w:type="spellStart"/>
      <w:r w:rsidR="00993F78" w:rsidRPr="00993F78">
        <w:rPr>
          <w:rFonts w:ascii="Calibri" w:hAnsi="Calibri"/>
          <w:bCs/>
        </w:rPr>
        <w:t>Switzler</w:t>
      </w:r>
      <w:proofErr w:type="spellEnd"/>
      <w:r w:rsidR="00993F78" w:rsidRPr="00993F78">
        <w:rPr>
          <w:rFonts w:ascii="Calibri" w:hAnsi="Calibri"/>
          <w:bCs/>
        </w:rPr>
        <w:t xml:space="preserve"> – </w:t>
      </w:r>
      <w:proofErr w:type="spellStart"/>
      <w:r w:rsidR="00993F78" w:rsidRPr="00993F78">
        <w:rPr>
          <w:rFonts w:ascii="Calibri" w:hAnsi="Calibri"/>
          <w:bCs/>
        </w:rPr>
        <w:t>Skillpower</w:t>
      </w:r>
      <w:proofErr w:type="spellEnd"/>
      <w:r w:rsidR="00993F78" w:rsidRPr="00993F78">
        <w:rPr>
          <w:rFonts w:ascii="Calibri" w:hAnsi="Calibri"/>
          <w:bCs/>
        </w:rPr>
        <w:t xml:space="preserve"> over willpower</w:t>
      </w:r>
    </w:p>
    <w:p w14:paraId="136BC34F" w14:textId="77777777" w:rsidR="00993F78" w:rsidRPr="00993F78" w:rsidRDefault="00993F78" w:rsidP="00993F78">
      <w:pPr>
        <w:rPr>
          <w:rFonts w:ascii="Calibri" w:hAnsi="Calibri"/>
        </w:rPr>
      </w:pPr>
    </w:p>
    <w:p w14:paraId="28306B38" w14:textId="77777777" w:rsidR="00993F78" w:rsidRPr="00993F78" w:rsidRDefault="00993F78" w:rsidP="00993F78">
      <w:pPr>
        <w:rPr>
          <w:rFonts w:ascii="Calibri" w:hAnsi="Calibri"/>
          <w:b/>
        </w:rPr>
      </w:pPr>
      <w:r w:rsidRPr="00993F78">
        <w:rPr>
          <w:rFonts w:ascii="Calibri" w:hAnsi="Calibri"/>
          <w:b/>
        </w:rPr>
        <w:t>Curriculum Links and more</w:t>
      </w:r>
    </w:p>
    <w:p w14:paraId="648DFBB0" w14:textId="77777777" w:rsidR="00993F78" w:rsidRPr="00993F78" w:rsidRDefault="00993F78" w:rsidP="00993F78">
      <w:pPr>
        <w:rPr>
          <w:rFonts w:ascii="Calibri" w:hAnsi="Calibri" w:cs="Lao UI"/>
          <w:iCs/>
        </w:rPr>
      </w:pPr>
      <w:r w:rsidRPr="00993F78">
        <w:rPr>
          <w:rFonts w:ascii="Calibri" w:hAnsi="Calibri" w:cs="Lao UI"/>
          <w:iCs/>
        </w:rPr>
        <w:t xml:space="preserve">English speaking and listening: </w:t>
      </w:r>
    </w:p>
    <w:p w14:paraId="35FD7F8E" w14:textId="77777777" w:rsidR="00993F78" w:rsidRPr="00993F78" w:rsidRDefault="00993F78" w:rsidP="00993F78">
      <w:pPr>
        <w:pStyle w:val="ListParagraph"/>
        <w:numPr>
          <w:ilvl w:val="0"/>
          <w:numId w:val="12"/>
        </w:numPr>
        <w:spacing w:line="254" w:lineRule="auto"/>
        <w:rPr>
          <w:rFonts w:ascii="Calibri" w:hAnsi="Calibri"/>
          <w:sz w:val="24"/>
          <w:szCs w:val="24"/>
        </w:rPr>
      </w:pPr>
      <w:r w:rsidRPr="00993F78">
        <w:rPr>
          <w:rFonts w:ascii="Calibri" w:hAnsi="Calibri"/>
          <w:sz w:val="24"/>
          <w:szCs w:val="24"/>
        </w:rPr>
        <w:t>listen and respond appropriately to adults and their peers</w:t>
      </w:r>
    </w:p>
    <w:p w14:paraId="591344A6" w14:textId="77777777" w:rsidR="00993F78" w:rsidRPr="00993F78" w:rsidRDefault="00993F78" w:rsidP="00993F78">
      <w:pPr>
        <w:pStyle w:val="ListParagraph"/>
        <w:numPr>
          <w:ilvl w:val="0"/>
          <w:numId w:val="12"/>
        </w:numPr>
        <w:spacing w:line="254" w:lineRule="auto"/>
        <w:rPr>
          <w:rFonts w:ascii="Calibri" w:hAnsi="Calibri"/>
          <w:sz w:val="24"/>
          <w:szCs w:val="24"/>
        </w:rPr>
      </w:pPr>
      <w:r w:rsidRPr="00993F78">
        <w:rPr>
          <w:rFonts w:ascii="Calibri" w:hAnsi="Calibri"/>
          <w:sz w:val="24"/>
          <w:szCs w:val="24"/>
        </w:rPr>
        <w:t xml:space="preserve">ask relevant questions to extend their understanding and knowledge </w:t>
      </w:r>
    </w:p>
    <w:p w14:paraId="533D7AE1" w14:textId="77777777" w:rsidR="00993F78" w:rsidRPr="00993F78" w:rsidRDefault="00993F78" w:rsidP="00993F78">
      <w:pPr>
        <w:pStyle w:val="ListParagraph"/>
        <w:numPr>
          <w:ilvl w:val="0"/>
          <w:numId w:val="12"/>
        </w:numPr>
        <w:spacing w:line="254" w:lineRule="auto"/>
        <w:rPr>
          <w:rFonts w:ascii="Calibri" w:hAnsi="Calibri"/>
          <w:sz w:val="24"/>
          <w:szCs w:val="24"/>
        </w:rPr>
      </w:pPr>
      <w:r w:rsidRPr="00993F78">
        <w:rPr>
          <w:rFonts w:ascii="Calibri" w:hAnsi="Calibri"/>
          <w:sz w:val="24"/>
          <w:szCs w:val="24"/>
        </w:rPr>
        <w:t>select and use appropriate registers for effective communication</w:t>
      </w:r>
    </w:p>
    <w:p w14:paraId="789FFD20" w14:textId="77777777" w:rsidR="00993F78" w:rsidRDefault="00883EF2" w:rsidP="00993F78">
      <w:pPr>
        <w:rPr>
          <w:rFonts w:ascii="Calibri" w:hAnsi="Calibri"/>
        </w:rPr>
      </w:pPr>
      <w:hyperlink r:id="rId8" w:anchor="spoken-language--years-1-to-6" w:history="1">
        <w:r w:rsidR="00993F78" w:rsidRPr="00993F78">
          <w:rPr>
            <w:rStyle w:val="Hyperlink"/>
            <w:rFonts w:ascii="Calibri" w:hAnsi="Calibri" w:cs="Lao UI"/>
            <w:iCs/>
          </w:rPr>
          <w:t>www.gov.uk/government/publications/national-curriculum-in-england-english-programmes-of-study/national-curriculum-in-england-english-programmes-of-study#spoken-language--years-1-to-6</w:t>
        </w:r>
      </w:hyperlink>
    </w:p>
    <w:p w14:paraId="2CBEAA57" w14:textId="77777777" w:rsidR="00993F78" w:rsidRPr="00993F78" w:rsidRDefault="00993F78" w:rsidP="00993F78">
      <w:pPr>
        <w:rPr>
          <w:rFonts w:ascii="Calibri" w:hAnsi="Calibri"/>
        </w:rPr>
      </w:pPr>
    </w:p>
    <w:p w14:paraId="29998CDF" w14:textId="77777777" w:rsidR="00993F78" w:rsidRPr="00993F78" w:rsidRDefault="00993F78" w:rsidP="00993F78">
      <w:pPr>
        <w:rPr>
          <w:rFonts w:ascii="Calibri" w:hAnsi="Calibri" w:cs="Lao UI"/>
          <w:iCs/>
        </w:rPr>
      </w:pPr>
      <w:proofErr w:type="spellStart"/>
      <w:r w:rsidRPr="00993F78">
        <w:rPr>
          <w:rFonts w:ascii="Calibri" w:hAnsi="Calibri" w:cs="Lao UI"/>
          <w:iCs/>
        </w:rPr>
        <w:t>Skillsbuilder</w:t>
      </w:r>
      <w:proofErr w:type="spellEnd"/>
      <w:r w:rsidRPr="00993F78">
        <w:rPr>
          <w:rFonts w:ascii="Calibri" w:hAnsi="Calibri" w:cs="Lao UI"/>
          <w:iCs/>
        </w:rPr>
        <w:t xml:space="preserve"> – Aiming High </w:t>
      </w:r>
      <w:hyperlink r:id="rId9" w:history="1">
        <w:r w:rsidRPr="00993F78">
          <w:rPr>
            <w:rStyle w:val="Hyperlink"/>
            <w:rFonts w:ascii="Calibri" w:hAnsi="Calibri" w:cs="Lao UI"/>
            <w:iCs/>
          </w:rPr>
          <w:t xml:space="preserve"> /www.skillsbuilder.org/framework</w:t>
        </w:r>
      </w:hyperlink>
      <w:r w:rsidRPr="00993F78">
        <w:rPr>
          <w:rFonts w:ascii="Calibri" w:hAnsi="Calibri" w:cs="Lao UI"/>
          <w:iCs/>
        </w:rPr>
        <w:t xml:space="preserve"> </w:t>
      </w:r>
    </w:p>
    <w:p w14:paraId="02BE0282" w14:textId="77777777" w:rsidR="00993F78" w:rsidRPr="00993F78" w:rsidRDefault="00993F78" w:rsidP="00993F78">
      <w:pPr>
        <w:rPr>
          <w:rFonts w:ascii="Calibri" w:hAnsi="Calibri"/>
        </w:rPr>
      </w:pPr>
    </w:p>
    <w:p w14:paraId="4E72F13E" w14:textId="77777777" w:rsidR="00993F78" w:rsidRPr="00993F78" w:rsidRDefault="00993F78" w:rsidP="00993F78">
      <w:pPr>
        <w:rPr>
          <w:rFonts w:ascii="Calibri" w:hAnsi="Calibri"/>
          <w:b/>
        </w:rPr>
      </w:pPr>
      <w:r w:rsidRPr="00993F78">
        <w:rPr>
          <w:rFonts w:ascii="Calibri" w:hAnsi="Calibri"/>
          <w:b/>
        </w:rPr>
        <w:t>Session Plan</w:t>
      </w:r>
    </w:p>
    <w:p w14:paraId="2A9DC453" w14:textId="77777777" w:rsidR="00993F78" w:rsidRPr="00993F78" w:rsidRDefault="00993F78" w:rsidP="00993F78">
      <w:pPr>
        <w:rPr>
          <w:rFonts w:ascii="Calibri" w:hAnsi="Calibri"/>
          <w:b/>
        </w:rPr>
      </w:pPr>
    </w:p>
    <w:tbl>
      <w:tblPr>
        <w:tblStyle w:val="TableGrid"/>
        <w:tblW w:w="0" w:type="auto"/>
        <w:tblInd w:w="0" w:type="dxa"/>
        <w:tblLook w:val="04A0" w:firstRow="1" w:lastRow="0" w:firstColumn="1" w:lastColumn="0" w:noHBand="0" w:noVBand="1"/>
      </w:tblPr>
      <w:tblGrid>
        <w:gridCol w:w="1437"/>
        <w:gridCol w:w="5499"/>
        <w:gridCol w:w="2074"/>
      </w:tblGrid>
      <w:tr w:rsidR="00993F78" w:rsidRPr="00993F78" w14:paraId="710798B1" w14:textId="77777777" w:rsidTr="00993F78">
        <w:tc>
          <w:tcPr>
            <w:tcW w:w="1438" w:type="dxa"/>
            <w:tcBorders>
              <w:top w:val="single" w:sz="4" w:space="0" w:color="auto"/>
              <w:left w:val="single" w:sz="4" w:space="0" w:color="auto"/>
              <w:bottom w:val="single" w:sz="4" w:space="0" w:color="auto"/>
              <w:right w:val="single" w:sz="4" w:space="0" w:color="auto"/>
            </w:tcBorders>
            <w:hideMark/>
          </w:tcPr>
          <w:p w14:paraId="018164BF" w14:textId="77777777" w:rsidR="00993F78" w:rsidRPr="00993F78" w:rsidRDefault="00993F78">
            <w:pPr>
              <w:rPr>
                <w:rFonts w:ascii="Calibri" w:hAnsi="Calibri"/>
                <w:b/>
                <w:sz w:val="24"/>
                <w:szCs w:val="24"/>
              </w:rPr>
            </w:pPr>
            <w:r w:rsidRPr="00993F78">
              <w:rPr>
                <w:rFonts w:ascii="Calibri" w:hAnsi="Calibri"/>
                <w:b/>
                <w:sz w:val="24"/>
                <w:szCs w:val="24"/>
              </w:rPr>
              <w:lastRenderedPageBreak/>
              <w:t>No. of learners:</w:t>
            </w:r>
            <w:r w:rsidRPr="00993F78">
              <w:rPr>
                <w:rFonts w:ascii="Calibri" w:hAnsi="Calibri"/>
                <w:sz w:val="24"/>
                <w:szCs w:val="24"/>
              </w:rPr>
              <w:t xml:space="preserve"> class-size group </w:t>
            </w:r>
          </w:p>
        </w:tc>
        <w:tc>
          <w:tcPr>
            <w:tcW w:w="5503" w:type="dxa"/>
            <w:tcBorders>
              <w:top w:val="single" w:sz="4" w:space="0" w:color="auto"/>
              <w:left w:val="single" w:sz="4" w:space="0" w:color="auto"/>
              <w:bottom w:val="single" w:sz="4" w:space="0" w:color="auto"/>
              <w:right w:val="single" w:sz="4" w:space="0" w:color="auto"/>
            </w:tcBorders>
            <w:hideMark/>
          </w:tcPr>
          <w:p w14:paraId="5C029687" w14:textId="77777777" w:rsidR="00993F78" w:rsidRPr="00993F78" w:rsidRDefault="00993F78">
            <w:pPr>
              <w:rPr>
                <w:rFonts w:ascii="Calibri" w:hAnsi="Calibri"/>
                <w:b/>
                <w:sz w:val="24"/>
                <w:szCs w:val="24"/>
              </w:rPr>
            </w:pPr>
            <w:r w:rsidRPr="00993F78">
              <w:rPr>
                <w:rFonts w:ascii="Calibri" w:hAnsi="Calibri"/>
                <w:b/>
                <w:sz w:val="24"/>
                <w:szCs w:val="24"/>
              </w:rPr>
              <w:t>Age of learners:</w:t>
            </w:r>
            <w:r w:rsidRPr="00993F78">
              <w:rPr>
                <w:rFonts w:ascii="Calibri" w:hAnsi="Calibri"/>
                <w:sz w:val="24"/>
                <w:szCs w:val="24"/>
              </w:rPr>
              <w:t xml:space="preserve"> 9-11</w:t>
            </w:r>
          </w:p>
        </w:tc>
        <w:tc>
          <w:tcPr>
            <w:tcW w:w="2075" w:type="dxa"/>
            <w:tcBorders>
              <w:top w:val="single" w:sz="4" w:space="0" w:color="auto"/>
              <w:left w:val="single" w:sz="4" w:space="0" w:color="auto"/>
              <w:bottom w:val="single" w:sz="4" w:space="0" w:color="auto"/>
              <w:right w:val="single" w:sz="4" w:space="0" w:color="auto"/>
            </w:tcBorders>
            <w:hideMark/>
          </w:tcPr>
          <w:p w14:paraId="6A559A26" w14:textId="77777777" w:rsidR="00993F78" w:rsidRPr="00993F78" w:rsidRDefault="00993F78">
            <w:pPr>
              <w:rPr>
                <w:rFonts w:ascii="Calibri" w:hAnsi="Calibri"/>
                <w:b/>
                <w:sz w:val="24"/>
                <w:szCs w:val="24"/>
              </w:rPr>
            </w:pPr>
            <w:r w:rsidRPr="00993F78">
              <w:rPr>
                <w:rFonts w:ascii="Calibri" w:hAnsi="Calibri"/>
                <w:b/>
                <w:sz w:val="24"/>
                <w:szCs w:val="24"/>
              </w:rPr>
              <w:t>Session time:</w:t>
            </w:r>
            <w:r w:rsidRPr="00993F78">
              <w:rPr>
                <w:rFonts w:ascii="Calibri" w:hAnsi="Calibri"/>
                <w:sz w:val="24"/>
                <w:szCs w:val="24"/>
              </w:rPr>
              <w:t xml:space="preserve"> approx. 1 hour</w:t>
            </w:r>
          </w:p>
        </w:tc>
      </w:tr>
      <w:tr w:rsidR="00993F78" w:rsidRPr="00993F78" w14:paraId="571A90E4" w14:textId="77777777" w:rsidTr="00993F78">
        <w:tc>
          <w:tcPr>
            <w:tcW w:w="9016" w:type="dxa"/>
            <w:gridSpan w:val="3"/>
            <w:tcBorders>
              <w:top w:val="single" w:sz="4" w:space="0" w:color="auto"/>
              <w:left w:val="single" w:sz="4" w:space="0" w:color="auto"/>
              <w:bottom w:val="single" w:sz="4" w:space="0" w:color="auto"/>
              <w:right w:val="single" w:sz="4" w:space="0" w:color="auto"/>
            </w:tcBorders>
          </w:tcPr>
          <w:p w14:paraId="4B79A5ED" w14:textId="77777777" w:rsidR="00993F78" w:rsidRPr="00993F78" w:rsidRDefault="00993F78">
            <w:pPr>
              <w:rPr>
                <w:rFonts w:ascii="Calibri" w:hAnsi="Calibri"/>
                <w:bCs/>
                <w:sz w:val="24"/>
                <w:szCs w:val="24"/>
              </w:rPr>
            </w:pPr>
            <w:r w:rsidRPr="00993F78">
              <w:rPr>
                <w:rFonts w:ascii="Calibri" w:hAnsi="Calibri"/>
                <w:b/>
                <w:sz w:val="24"/>
                <w:szCs w:val="24"/>
              </w:rPr>
              <w:t xml:space="preserve">Session Aim: </w:t>
            </w:r>
            <w:r w:rsidRPr="00993F78">
              <w:rPr>
                <w:rFonts w:ascii="Calibri" w:hAnsi="Calibri"/>
                <w:bCs/>
                <w:sz w:val="24"/>
                <w:szCs w:val="24"/>
              </w:rPr>
              <w:t>Use their learning from their employee interviewee’s career journey to set and work towards their own achievable goal.</w:t>
            </w:r>
          </w:p>
          <w:p w14:paraId="14DF5708" w14:textId="77777777" w:rsidR="00993F78" w:rsidRPr="00993F78" w:rsidRDefault="00993F78">
            <w:pPr>
              <w:rPr>
                <w:rFonts w:ascii="Calibri" w:hAnsi="Calibri"/>
                <w:bCs/>
                <w:sz w:val="24"/>
                <w:szCs w:val="24"/>
              </w:rPr>
            </w:pPr>
          </w:p>
        </w:tc>
      </w:tr>
      <w:tr w:rsidR="00993F78" w:rsidRPr="00993F78" w14:paraId="0C3AAACB" w14:textId="77777777" w:rsidTr="00993F78">
        <w:tc>
          <w:tcPr>
            <w:tcW w:w="9016" w:type="dxa"/>
            <w:gridSpan w:val="3"/>
            <w:tcBorders>
              <w:top w:val="single" w:sz="4" w:space="0" w:color="auto"/>
              <w:left w:val="single" w:sz="4" w:space="0" w:color="auto"/>
              <w:bottom w:val="single" w:sz="4" w:space="0" w:color="auto"/>
              <w:right w:val="single" w:sz="4" w:space="0" w:color="auto"/>
            </w:tcBorders>
            <w:hideMark/>
          </w:tcPr>
          <w:p w14:paraId="31356381" w14:textId="77777777" w:rsidR="00993F78" w:rsidRPr="00993F78" w:rsidRDefault="00993F78">
            <w:pPr>
              <w:rPr>
                <w:rFonts w:ascii="Calibri" w:hAnsi="Calibri"/>
                <w:b/>
                <w:sz w:val="24"/>
                <w:szCs w:val="24"/>
              </w:rPr>
            </w:pPr>
            <w:r w:rsidRPr="00993F78">
              <w:rPr>
                <w:rFonts w:ascii="Calibri" w:hAnsi="Calibri"/>
                <w:b/>
                <w:sz w:val="24"/>
                <w:szCs w:val="24"/>
              </w:rPr>
              <w:t>Session outcomes. Children will:</w:t>
            </w:r>
          </w:p>
          <w:p w14:paraId="68371C2F" w14:textId="77777777" w:rsidR="00993F78" w:rsidRPr="00993F78" w:rsidRDefault="00993F78" w:rsidP="00993F78">
            <w:pPr>
              <w:pStyle w:val="ListParagraph"/>
              <w:numPr>
                <w:ilvl w:val="0"/>
                <w:numId w:val="13"/>
              </w:numPr>
              <w:spacing w:after="0" w:line="240" w:lineRule="auto"/>
              <w:rPr>
                <w:rFonts w:ascii="Calibri" w:hAnsi="Calibri"/>
                <w:b/>
                <w:sz w:val="24"/>
                <w:szCs w:val="24"/>
              </w:rPr>
            </w:pPr>
            <w:r w:rsidRPr="00993F78">
              <w:rPr>
                <w:rFonts w:ascii="Calibri" w:hAnsi="Calibri"/>
                <w:sz w:val="24"/>
                <w:szCs w:val="24"/>
              </w:rPr>
              <w:t>Record key information from an extended conversation with an adult.</w:t>
            </w:r>
          </w:p>
          <w:p w14:paraId="25412C7D" w14:textId="77777777" w:rsidR="00993F78" w:rsidRPr="00993F78" w:rsidRDefault="00993F78" w:rsidP="00993F78">
            <w:pPr>
              <w:pStyle w:val="ListParagraph"/>
              <w:numPr>
                <w:ilvl w:val="0"/>
                <w:numId w:val="14"/>
              </w:numPr>
              <w:spacing w:after="0" w:line="240" w:lineRule="auto"/>
              <w:rPr>
                <w:rFonts w:ascii="Calibri" w:hAnsi="Calibri"/>
                <w:sz w:val="24"/>
                <w:szCs w:val="24"/>
              </w:rPr>
            </w:pPr>
            <w:r w:rsidRPr="00993F78">
              <w:rPr>
                <w:rFonts w:ascii="Calibri" w:hAnsi="Calibri"/>
                <w:sz w:val="24"/>
                <w:szCs w:val="24"/>
              </w:rPr>
              <w:t>Reflect on successful strategies for setting and achieving goals from their own and others’ experience.</w:t>
            </w:r>
          </w:p>
          <w:p w14:paraId="50548316" w14:textId="77777777" w:rsidR="00993F78" w:rsidRPr="00993F78" w:rsidRDefault="00993F78" w:rsidP="00993F78">
            <w:pPr>
              <w:pStyle w:val="ListParagraph"/>
              <w:numPr>
                <w:ilvl w:val="0"/>
                <w:numId w:val="14"/>
              </w:numPr>
              <w:spacing w:after="0" w:line="240" w:lineRule="auto"/>
              <w:rPr>
                <w:rFonts w:ascii="Calibri" w:hAnsi="Calibri"/>
                <w:sz w:val="24"/>
                <w:szCs w:val="24"/>
              </w:rPr>
            </w:pPr>
            <w:r w:rsidRPr="00993F78">
              <w:rPr>
                <w:rFonts w:ascii="Calibri" w:hAnsi="Calibri"/>
                <w:sz w:val="24"/>
                <w:szCs w:val="24"/>
              </w:rPr>
              <w:t>Identify key elements of strategies to achieve goals (intention/effort, support from others, supportive environment).</w:t>
            </w:r>
          </w:p>
          <w:p w14:paraId="5535CE5D" w14:textId="77777777" w:rsidR="00993F78" w:rsidRPr="00993F78" w:rsidRDefault="00993F78" w:rsidP="00993F78">
            <w:pPr>
              <w:pStyle w:val="ListParagraph"/>
              <w:numPr>
                <w:ilvl w:val="0"/>
                <w:numId w:val="14"/>
              </w:numPr>
              <w:spacing w:after="0" w:line="240" w:lineRule="auto"/>
              <w:rPr>
                <w:rFonts w:ascii="Calibri" w:hAnsi="Calibri"/>
                <w:b/>
                <w:sz w:val="24"/>
                <w:szCs w:val="24"/>
              </w:rPr>
            </w:pPr>
            <w:r w:rsidRPr="00993F78">
              <w:rPr>
                <w:rFonts w:ascii="Calibri" w:hAnsi="Calibri"/>
                <w:sz w:val="24"/>
                <w:szCs w:val="24"/>
              </w:rPr>
              <w:t>Use knowledge from 1 or 2 above to set and work towards an achievable goal.</w:t>
            </w:r>
          </w:p>
        </w:tc>
      </w:tr>
      <w:tr w:rsidR="00993F78" w:rsidRPr="00993F78" w14:paraId="107275E3" w14:textId="77777777" w:rsidTr="00993F78">
        <w:tc>
          <w:tcPr>
            <w:tcW w:w="9016" w:type="dxa"/>
            <w:gridSpan w:val="3"/>
            <w:tcBorders>
              <w:top w:val="single" w:sz="4" w:space="0" w:color="auto"/>
              <w:left w:val="single" w:sz="4" w:space="0" w:color="auto"/>
              <w:bottom w:val="single" w:sz="4" w:space="0" w:color="auto"/>
              <w:right w:val="single" w:sz="4" w:space="0" w:color="auto"/>
            </w:tcBorders>
            <w:hideMark/>
          </w:tcPr>
          <w:p w14:paraId="41B6DB87" w14:textId="77777777" w:rsidR="00993F78" w:rsidRPr="00993F78" w:rsidRDefault="00993F78">
            <w:pPr>
              <w:rPr>
                <w:rFonts w:ascii="Calibri" w:hAnsi="Calibri"/>
                <w:b/>
                <w:sz w:val="24"/>
                <w:szCs w:val="24"/>
              </w:rPr>
            </w:pPr>
            <w:r w:rsidRPr="00993F78">
              <w:rPr>
                <w:rFonts w:ascii="Calibri" w:hAnsi="Calibri"/>
                <w:b/>
                <w:sz w:val="24"/>
                <w:szCs w:val="24"/>
              </w:rPr>
              <w:t>Assessing Learning:</w:t>
            </w:r>
          </w:p>
          <w:p w14:paraId="1F10A336" w14:textId="77777777" w:rsidR="00993F78" w:rsidRPr="00993F78" w:rsidRDefault="00993F78">
            <w:pPr>
              <w:rPr>
                <w:rFonts w:ascii="Calibri" w:hAnsi="Calibri"/>
                <w:sz w:val="24"/>
                <w:szCs w:val="24"/>
              </w:rPr>
            </w:pPr>
            <w:r w:rsidRPr="00993F78">
              <w:rPr>
                <w:rFonts w:ascii="Calibri" w:hAnsi="Calibri"/>
                <w:sz w:val="24"/>
                <w:szCs w:val="24"/>
              </w:rPr>
              <w:t xml:space="preserve">Outcome linked to </w:t>
            </w:r>
            <w:proofErr w:type="spellStart"/>
            <w:r w:rsidRPr="00993F78">
              <w:rPr>
                <w:rFonts w:ascii="Calibri" w:hAnsi="Calibri"/>
                <w:sz w:val="24"/>
                <w:szCs w:val="24"/>
              </w:rPr>
              <w:t>Skillsbuilder</w:t>
            </w:r>
            <w:proofErr w:type="spellEnd"/>
            <w:r w:rsidRPr="00993F78">
              <w:rPr>
                <w:rFonts w:ascii="Calibri" w:hAnsi="Calibri"/>
                <w:sz w:val="24"/>
                <w:szCs w:val="24"/>
              </w:rPr>
              <w:t xml:space="preserve"> Listening, Level 5, (Ages 9-12). </w:t>
            </w:r>
          </w:p>
          <w:p w14:paraId="5C5207F0" w14:textId="77777777" w:rsidR="00993F78" w:rsidRPr="00993F78" w:rsidRDefault="00993F78">
            <w:pPr>
              <w:rPr>
                <w:rFonts w:ascii="Calibri" w:hAnsi="Calibri"/>
                <w:b/>
                <w:sz w:val="24"/>
                <w:szCs w:val="24"/>
              </w:rPr>
            </w:pPr>
            <w:r w:rsidRPr="00993F78">
              <w:rPr>
                <w:rFonts w:ascii="Calibri" w:hAnsi="Calibri"/>
                <w:sz w:val="24"/>
                <w:szCs w:val="24"/>
              </w:rPr>
              <w:t>‘Learners can listen to and respond to extended talk, identifying the key information they need and retain it.’</w:t>
            </w:r>
          </w:p>
          <w:p w14:paraId="52075A4D" w14:textId="77777777" w:rsidR="00993F78" w:rsidRPr="00993F78" w:rsidRDefault="00993F78">
            <w:pPr>
              <w:rPr>
                <w:rFonts w:ascii="Calibri" w:hAnsi="Calibri"/>
                <w:sz w:val="24"/>
                <w:szCs w:val="24"/>
              </w:rPr>
            </w:pPr>
            <w:r w:rsidRPr="00993F78">
              <w:rPr>
                <w:rFonts w:ascii="Calibri" w:hAnsi="Calibri"/>
                <w:sz w:val="24"/>
                <w:szCs w:val="24"/>
              </w:rPr>
              <w:t xml:space="preserve">Outcome linked to </w:t>
            </w:r>
            <w:proofErr w:type="spellStart"/>
            <w:r w:rsidRPr="00993F78">
              <w:rPr>
                <w:rFonts w:ascii="Calibri" w:hAnsi="Calibri"/>
                <w:sz w:val="24"/>
                <w:szCs w:val="24"/>
              </w:rPr>
              <w:t>Skillsbuilder</w:t>
            </w:r>
            <w:proofErr w:type="spellEnd"/>
            <w:r w:rsidRPr="00993F78">
              <w:rPr>
                <w:rFonts w:ascii="Calibri" w:hAnsi="Calibri"/>
                <w:sz w:val="24"/>
                <w:szCs w:val="24"/>
              </w:rPr>
              <w:t xml:space="preserve"> Aiming High, Level 5, (Ages 9-12). </w:t>
            </w:r>
          </w:p>
          <w:p w14:paraId="7F202D30" w14:textId="77777777" w:rsidR="00993F78" w:rsidRPr="00993F78" w:rsidRDefault="00993F78">
            <w:pPr>
              <w:rPr>
                <w:rFonts w:ascii="Calibri" w:hAnsi="Calibri"/>
                <w:sz w:val="24"/>
                <w:szCs w:val="24"/>
              </w:rPr>
            </w:pPr>
            <w:r w:rsidRPr="00993F78">
              <w:rPr>
                <w:rFonts w:ascii="Calibri" w:hAnsi="Calibri"/>
                <w:sz w:val="24"/>
                <w:szCs w:val="24"/>
              </w:rPr>
              <w:t xml:space="preserve">‘Learners can set a simple goal that is appropriate and achievable, with the support of a teacher or other adult’. </w:t>
            </w:r>
          </w:p>
        </w:tc>
      </w:tr>
      <w:tr w:rsidR="00993F78" w:rsidRPr="00993F78" w14:paraId="04AF11C9" w14:textId="77777777" w:rsidTr="00993F78">
        <w:tc>
          <w:tcPr>
            <w:tcW w:w="1438" w:type="dxa"/>
            <w:tcBorders>
              <w:top w:val="single" w:sz="4" w:space="0" w:color="auto"/>
              <w:left w:val="single" w:sz="4" w:space="0" w:color="auto"/>
              <w:bottom w:val="single" w:sz="4" w:space="0" w:color="auto"/>
              <w:right w:val="single" w:sz="4" w:space="0" w:color="auto"/>
            </w:tcBorders>
            <w:hideMark/>
          </w:tcPr>
          <w:p w14:paraId="12214B3A" w14:textId="77777777" w:rsidR="00993F78" w:rsidRPr="00993F78" w:rsidRDefault="00993F78">
            <w:pPr>
              <w:rPr>
                <w:rFonts w:ascii="Calibri" w:hAnsi="Calibri"/>
                <w:b/>
                <w:sz w:val="24"/>
                <w:szCs w:val="24"/>
              </w:rPr>
            </w:pPr>
            <w:r w:rsidRPr="00993F78">
              <w:rPr>
                <w:rFonts w:ascii="Calibri" w:hAnsi="Calibri"/>
                <w:b/>
                <w:sz w:val="24"/>
                <w:szCs w:val="24"/>
              </w:rPr>
              <w:t>Session</w:t>
            </w:r>
          </w:p>
        </w:tc>
        <w:tc>
          <w:tcPr>
            <w:tcW w:w="5503" w:type="dxa"/>
            <w:tcBorders>
              <w:top w:val="single" w:sz="4" w:space="0" w:color="auto"/>
              <w:left w:val="single" w:sz="4" w:space="0" w:color="auto"/>
              <w:bottom w:val="single" w:sz="4" w:space="0" w:color="auto"/>
              <w:right w:val="single" w:sz="4" w:space="0" w:color="auto"/>
            </w:tcBorders>
            <w:hideMark/>
          </w:tcPr>
          <w:p w14:paraId="224FA7AB" w14:textId="77777777" w:rsidR="00993F78" w:rsidRPr="00993F78" w:rsidRDefault="00993F78">
            <w:pPr>
              <w:rPr>
                <w:rFonts w:ascii="Calibri" w:hAnsi="Calibri"/>
                <w:b/>
                <w:sz w:val="24"/>
                <w:szCs w:val="24"/>
              </w:rPr>
            </w:pPr>
            <w:r w:rsidRPr="00993F78">
              <w:rPr>
                <w:rFonts w:ascii="Calibri" w:hAnsi="Calibri"/>
                <w:b/>
                <w:sz w:val="24"/>
                <w:szCs w:val="24"/>
              </w:rPr>
              <w:t>Activity</w:t>
            </w:r>
          </w:p>
        </w:tc>
        <w:tc>
          <w:tcPr>
            <w:tcW w:w="2075" w:type="dxa"/>
            <w:tcBorders>
              <w:top w:val="single" w:sz="4" w:space="0" w:color="auto"/>
              <w:left w:val="single" w:sz="4" w:space="0" w:color="auto"/>
              <w:bottom w:val="single" w:sz="4" w:space="0" w:color="auto"/>
              <w:right w:val="single" w:sz="4" w:space="0" w:color="auto"/>
            </w:tcBorders>
            <w:hideMark/>
          </w:tcPr>
          <w:p w14:paraId="64E01C6B" w14:textId="77777777" w:rsidR="00993F78" w:rsidRPr="00993F78" w:rsidRDefault="00993F78">
            <w:pPr>
              <w:rPr>
                <w:rFonts w:ascii="Calibri" w:hAnsi="Calibri"/>
                <w:b/>
                <w:sz w:val="24"/>
                <w:szCs w:val="24"/>
              </w:rPr>
            </w:pPr>
            <w:r w:rsidRPr="00993F78">
              <w:rPr>
                <w:rFonts w:ascii="Calibri" w:hAnsi="Calibri"/>
                <w:b/>
                <w:sz w:val="24"/>
                <w:szCs w:val="24"/>
              </w:rPr>
              <w:t>Resources</w:t>
            </w:r>
          </w:p>
        </w:tc>
      </w:tr>
      <w:tr w:rsidR="00993F78" w:rsidRPr="00993F78" w14:paraId="295439F8" w14:textId="77777777" w:rsidTr="00993F78">
        <w:tc>
          <w:tcPr>
            <w:tcW w:w="1438" w:type="dxa"/>
            <w:tcBorders>
              <w:top w:val="single" w:sz="4" w:space="0" w:color="auto"/>
              <w:left w:val="single" w:sz="4" w:space="0" w:color="auto"/>
              <w:bottom w:val="single" w:sz="4" w:space="0" w:color="auto"/>
              <w:right w:val="single" w:sz="4" w:space="0" w:color="auto"/>
            </w:tcBorders>
          </w:tcPr>
          <w:p w14:paraId="4B4A087C" w14:textId="77777777" w:rsidR="00993F78" w:rsidRPr="00993F78" w:rsidRDefault="00993F78">
            <w:pPr>
              <w:rPr>
                <w:rFonts w:ascii="Calibri" w:hAnsi="Calibri"/>
                <w:b/>
                <w:sz w:val="24"/>
                <w:szCs w:val="24"/>
              </w:rPr>
            </w:pPr>
            <w:r w:rsidRPr="00993F78">
              <w:rPr>
                <w:rFonts w:ascii="Calibri" w:hAnsi="Calibri"/>
                <w:b/>
                <w:sz w:val="24"/>
                <w:szCs w:val="24"/>
              </w:rPr>
              <w:t>Interview follow-up</w:t>
            </w:r>
          </w:p>
          <w:p w14:paraId="72346D49" w14:textId="77777777" w:rsidR="00993F78" w:rsidRPr="00993F78" w:rsidRDefault="00993F78">
            <w:pPr>
              <w:rPr>
                <w:rFonts w:ascii="Calibri" w:hAnsi="Calibri"/>
                <w:b/>
                <w:sz w:val="24"/>
                <w:szCs w:val="24"/>
              </w:rPr>
            </w:pPr>
          </w:p>
        </w:tc>
        <w:tc>
          <w:tcPr>
            <w:tcW w:w="5503" w:type="dxa"/>
            <w:tcBorders>
              <w:top w:val="single" w:sz="4" w:space="0" w:color="auto"/>
              <w:left w:val="single" w:sz="4" w:space="0" w:color="auto"/>
              <w:bottom w:val="single" w:sz="4" w:space="0" w:color="auto"/>
              <w:right w:val="single" w:sz="4" w:space="0" w:color="auto"/>
            </w:tcBorders>
            <w:hideMark/>
          </w:tcPr>
          <w:p w14:paraId="60518D77" w14:textId="77777777" w:rsidR="00993F78" w:rsidRPr="00993F78" w:rsidRDefault="00993F78" w:rsidP="00993F78">
            <w:pPr>
              <w:pStyle w:val="ListParagraph"/>
              <w:numPr>
                <w:ilvl w:val="0"/>
                <w:numId w:val="15"/>
              </w:numPr>
              <w:spacing w:after="0" w:line="240" w:lineRule="auto"/>
              <w:rPr>
                <w:rFonts w:ascii="Calibri" w:hAnsi="Calibri"/>
                <w:sz w:val="24"/>
                <w:szCs w:val="24"/>
              </w:rPr>
            </w:pPr>
            <w:r w:rsidRPr="00993F78">
              <w:rPr>
                <w:rFonts w:ascii="Calibri" w:hAnsi="Calibri"/>
                <w:sz w:val="24"/>
                <w:szCs w:val="24"/>
              </w:rPr>
              <w:t xml:space="preserve">Add new information gleaned from the interview to the </w:t>
            </w:r>
            <w:proofErr w:type="spellStart"/>
            <w:r w:rsidRPr="00993F78">
              <w:rPr>
                <w:rFonts w:ascii="Calibri" w:hAnsi="Calibri"/>
                <w:sz w:val="24"/>
                <w:szCs w:val="24"/>
              </w:rPr>
              <w:t>mindmap</w:t>
            </w:r>
            <w:proofErr w:type="spellEnd"/>
            <w:r w:rsidRPr="00993F78">
              <w:rPr>
                <w:rFonts w:ascii="Calibri" w:hAnsi="Calibri"/>
                <w:sz w:val="24"/>
                <w:szCs w:val="24"/>
              </w:rPr>
              <w:t xml:space="preserve"> you started in session 1.</w:t>
            </w:r>
            <w:r w:rsidRPr="00993F78">
              <w:rPr>
                <w:rFonts w:ascii="Calibri" w:hAnsi="Calibri"/>
                <w:b/>
                <w:sz w:val="24"/>
                <w:szCs w:val="24"/>
              </w:rPr>
              <w:t xml:space="preserve"> </w:t>
            </w:r>
            <w:r w:rsidRPr="00993F78">
              <w:rPr>
                <w:rFonts w:ascii="Calibri" w:hAnsi="Calibri"/>
                <w:sz w:val="24"/>
                <w:szCs w:val="24"/>
              </w:rPr>
              <w:t xml:space="preserve">Review the conversations from the interview. Children can record key elements of the conversation individually. These can provide assessment evidence for the Listening outcome. </w:t>
            </w:r>
          </w:p>
          <w:p w14:paraId="33AD097D" w14:textId="77777777" w:rsidR="00993F78" w:rsidRPr="00993F78" w:rsidRDefault="00993F78" w:rsidP="00993F78">
            <w:pPr>
              <w:pStyle w:val="ListParagraph"/>
              <w:numPr>
                <w:ilvl w:val="0"/>
                <w:numId w:val="15"/>
              </w:numPr>
              <w:spacing w:after="0" w:line="240" w:lineRule="auto"/>
              <w:rPr>
                <w:rFonts w:ascii="Calibri" w:hAnsi="Calibri"/>
                <w:sz w:val="24"/>
                <w:szCs w:val="24"/>
              </w:rPr>
            </w:pPr>
            <w:r w:rsidRPr="00993F78">
              <w:rPr>
                <w:rFonts w:ascii="Calibri" w:hAnsi="Calibri"/>
                <w:sz w:val="24"/>
                <w:szCs w:val="24"/>
              </w:rPr>
              <w:t>Focus particularly on the things from their career journey that didn’t go according to plan. What steps or strategies did the interviewee use to move towards a goal (bearing in mind the model below)? Or get unstuck when they were stuck?</w:t>
            </w:r>
            <w:r w:rsidRPr="00993F78">
              <w:rPr>
                <w:rFonts w:ascii="Calibri" w:hAnsi="Calibri"/>
                <w:noProof/>
                <w:sz w:val="24"/>
                <w:szCs w:val="24"/>
              </w:rPr>
              <w:t xml:space="preserve"> </w:t>
            </w:r>
          </w:p>
          <w:p w14:paraId="1051D289" w14:textId="77777777" w:rsidR="00993F78" w:rsidRPr="00993F78" w:rsidRDefault="00993F78" w:rsidP="00993F78">
            <w:pPr>
              <w:pStyle w:val="ListParagraph"/>
              <w:numPr>
                <w:ilvl w:val="0"/>
                <w:numId w:val="15"/>
              </w:numPr>
              <w:spacing w:after="0" w:line="240" w:lineRule="auto"/>
              <w:rPr>
                <w:rFonts w:ascii="Calibri" w:hAnsi="Calibri"/>
                <w:sz w:val="24"/>
                <w:szCs w:val="24"/>
              </w:rPr>
            </w:pPr>
            <w:r w:rsidRPr="00993F78">
              <w:rPr>
                <w:rFonts w:ascii="Calibri" w:hAnsi="Calibri"/>
                <w:sz w:val="24"/>
                <w:szCs w:val="24"/>
              </w:rPr>
              <w:t xml:space="preserve">Ask the children to tell you about a time in the past they have set themselves a goal and successfully achieved it. Elicit answers that focus on </w:t>
            </w:r>
            <w:r w:rsidRPr="00993F78">
              <w:rPr>
                <w:rFonts w:ascii="Calibri" w:hAnsi="Calibri"/>
                <w:i/>
                <w:iCs/>
                <w:sz w:val="24"/>
                <w:szCs w:val="24"/>
              </w:rPr>
              <w:t>what</w:t>
            </w:r>
            <w:r w:rsidRPr="00993F78">
              <w:rPr>
                <w:rFonts w:ascii="Calibri" w:hAnsi="Calibri"/>
                <w:sz w:val="24"/>
                <w:szCs w:val="24"/>
              </w:rPr>
              <w:t xml:space="preserve"> the children did, </w:t>
            </w:r>
            <w:r w:rsidRPr="00993F78">
              <w:rPr>
                <w:rFonts w:ascii="Calibri" w:hAnsi="Calibri"/>
                <w:i/>
                <w:iCs/>
                <w:sz w:val="24"/>
                <w:szCs w:val="24"/>
              </w:rPr>
              <w:t>who</w:t>
            </w:r>
            <w:r w:rsidRPr="00993F78">
              <w:rPr>
                <w:rFonts w:ascii="Calibri" w:hAnsi="Calibri"/>
                <w:sz w:val="24"/>
                <w:szCs w:val="24"/>
              </w:rPr>
              <w:t xml:space="preserve"> helped/ supported them and how their </w:t>
            </w:r>
            <w:r w:rsidRPr="00993F78">
              <w:rPr>
                <w:rFonts w:ascii="Calibri" w:hAnsi="Calibri"/>
                <w:i/>
                <w:iCs/>
                <w:sz w:val="24"/>
                <w:szCs w:val="24"/>
              </w:rPr>
              <w:t>surroundings/environment</w:t>
            </w:r>
            <w:r w:rsidRPr="00993F78">
              <w:rPr>
                <w:rFonts w:ascii="Calibri" w:hAnsi="Calibri"/>
                <w:sz w:val="24"/>
                <w:szCs w:val="24"/>
              </w:rPr>
              <w:t xml:space="preserve"> helped them. Record their responses in 3 columns under these headings.</w:t>
            </w:r>
          </w:p>
        </w:tc>
        <w:tc>
          <w:tcPr>
            <w:tcW w:w="2075" w:type="dxa"/>
            <w:tcBorders>
              <w:top w:val="single" w:sz="4" w:space="0" w:color="auto"/>
              <w:left w:val="single" w:sz="4" w:space="0" w:color="auto"/>
              <w:bottom w:val="single" w:sz="4" w:space="0" w:color="auto"/>
              <w:right w:val="single" w:sz="4" w:space="0" w:color="auto"/>
            </w:tcBorders>
            <w:hideMark/>
          </w:tcPr>
          <w:p w14:paraId="2E06883E" w14:textId="77777777" w:rsidR="00993F78" w:rsidRPr="00993F78" w:rsidRDefault="00993F78">
            <w:pPr>
              <w:rPr>
                <w:rFonts w:ascii="Calibri" w:hAnsi="Calibri"/>
                <w:noProof/>
                <w:sz w:val="24"/>
                <w:szCs w:val="24"/>
              </w:rPr>
            </w:pPr>
            <w:r w:rsidRPr="00993F78">
              <w:rPr>
                <w:rFonts w:ascii="Calibri" w:hAnsi="Calibri"/>
                <w:sz w:val="24"/>
                <w:szCs w:val="24"/>
              </w:rPr>
              <w:t>Whiteboard and markers.</w:t>
            </w:r>
            <w:r w:rsidRPr="00993F78">
              <w:rPr>
                <w:rFonts w:ascii="Calibri" w:hAnsi="Calibri"/>
                <w:noProof/>
                <w:sz w:val="24"/>
                <w:szCs w:val="24"/>
              </w:rPr>
              <w:t xml:space="preserve"> </w:t>
            </w:r>
          </w:p>
          <w:p w14:paraId="4BA58E63" w14:textId="77777777" w:rsidR="00993F78" w:rsidRPr="00993F78" w:rsidRDefault="00993F78">
            <w:pPr>
              <w:rPr>
                <w:rFonts w:ascii="Calibri" w:hAnsi="Calibri"/>
                <w:sz w:val="24"/>
                <w:szCs w:val="24"/>
              </w:rPr>
            </w:pPr>
            <w:r w:rsidRPr="00993F78">
              <w:rPr>
                <w:rFonts w:ascii="Calibri" w:hAnsi="Calibri"/>
                <w:sz w:val="24"/>
                <w:szCs w:val="24"/>
              </w:rPr>
              <w:t xml:space="preserve">Resource 2 – interview recording sheet. One per child or group. </w:t>
            </w:r>
          </w:p>
        </w:tc>
      </w:tr>
      <w:tr w:rsidR="00993F78" w:rsidRPr="00993F78" w14:paraId="148A9180" w14:textId="77777777" w:rsidTr="00993F78">
        <w:tc>
          <w:tcPr>
            <w:tcW w:w="1438" w:type="dxa"/>
            <w:tcBorders>
              <w:top w:val="single" w:sz="4" w:space="0" w:color="auto"/>
              <w:left w:val="single" w:sz="4" w:space="0" w:color="auto"/>
              <w:bottom w:val="single" w:sz="4" w:space="0" w:color="auto"/>
              <w:right w:val="single" w:sz="4" w:space="0" w:color="auto"/>
            </w:tcBorders>
            <w:hideMark/>
          </w:tcPr>
          <w:p w14:paraId="1F4095F2" w14:textId="77777777" w:rsidR="00993F78" w:rsidRPr="00993F78" w:rsidRDefault="00993F78">
            <w:pPr>
              <w:rPr>
                <w:rFonts w:ascii="Calibri" w:hAnsi="Calibri"/>
                <w:b/>
                <w:sz w:val="24"/>
                <w:szCs w:val="24"/>
              </w:rPr>
            </w:pPr>
            <w:r w:rsidRPr="00993F78">
              <w:rPr>
                <w:rFonts w:ascii="Calibri" w:hAnsi="Calibri"/>
                <w:b/>
                <w:sz w:val="24"/>
                <w:szCs w:val="24"/>
              </w:rPr>
              <w:t>Goal setting</w:t>
            </w:r>
          </w:p>
        </w:tc>
        <w:tc>
          <w:tcPr>
            <w:tcW w:w="5503" w:type="dxa"/>
            <w:tcBorders>
              <w:top w:val="single" w:sz="4" w:space="0" w:color="auto"/>
              <w:left w:val="single" w:sz="4" w:space="0" w:color="auto"/>
              <w:bottom w:val="single" w:sz="4" w:space="0" w:color="auto"/>
              <w:right w:val="single" w:sz="4" w:space="0" w:color="auto"/>
            </w:tcBorders>
            <w:hideMark/>
          </w:tcPr>
          <w:p w14:paraId="0BC516E5" w14:textId="77777777" w:rsidR="00993F78" w:rsidRPr="00993F78" w:rsidRDefault="00993F78" w:rsidP="00993F78">
            <w:pPr>
              <w:pStyle w:val="ListParagraph"/>
              <w:numPr>
                <w:ilvl w:val="0"/>
                <w:numId w:val="16"/>
              </w:numPr>
              <w:spacing w:after="0" w:line="240" w:lineRule="auto"/>
              <w:rPr>
                <w:rFonts w:ascii="Calibri" w:hAnsi="Calibri"/>
                <w:sz w:val="24"/>
                <w:szCs w:val="24"/>
              </w:rPr>
            </w:pPr>
            <w:r w:rsidRPr="00993F78">
              <w:rPr>
                <w:rFonts w:ascii="Calibri" w:hAnsi="Calibri"/>
                <w:sz w:val="24"/>
                <w:szCs w:val="24"/>
              </w:rPr>
              <w:t xml:space="preserve">Ask the children to think about a new goal for themselves – short or medium term - and to use the goal setting model/headings to think about the steps they’ll take to achieve their goal. This </w:t>
            </w:r>
            <w:r w:rsidRPr="00993F78">
              <w:rPr>
                <w:rFonts w:ascii="Calibri" w:hAnsi="Calibri"/>
                <w:sz w:val="24"/>
                <w:szCs w:val="24"/>
              </w:rPr>
              <w:lastRenderedPageBreak/>
              <w:t xml:space="preserve">might require more thought than a single conversation allows. </w:t>
            </w:r>
          </w:p>
          <w:p w14:paraId="230C0897" w14:textId="77777777" w:rsidR="00993F78" w:rsidRPr="00993F78" w:rsidRDefault="00993F78" w:rsidP="00993F78">
            <w:pPr>
              <w:pStyle w:val="ListParagraph"/>
              <w:numPr>
                <w:ilvl w:val="0"/>
                <w:numId w:val="16"/>
              </w:numPr>
              <w:spacing w:after="0" w:line="240" w:lineRule="auto"/>
              <w:rPr>
                <w:rFonts w:ascii="Calibri" w:hAnsi="Calibri"/>
                <w:sz w:val="24"/>
                <w:szCs w:val="24"/>
              </w:rPr>
            </w:pPr>
            <w:r w:rsidRPr="00993F78">
              <w:rPr>
                <w:rFonts w:ascii="Calibri" w:hAnsi="Calibri"/>
                <w:sz w:val="24"/>
                <w:szCs w:val="24"/>
              </w:rPr>
              <w:t xml:space="preserve">Once the idea is crystallised the children can record their goals individually. </w:t>
            </w:r>
          </w:p>
        </w:tc>
        <w:tc>
          <w:tcPr>
            <w:tcW w:w="2075" w:type="dxa"/>
            <w:tcBorders>
              <w:top w:val="single" w:sz="4" w:space="0" w:color="auto"/>
              <w:left w:val="single" w:sz="4" w:space="0" w:color="auto"/>
              <w:bottom w:val="single" w:sz="4" w:space="0" w:color="auto"/>
              <w:right w:val="single" w:sz="4" w:space="0" w:color="auto"/>
            </w:tcBorders>
            <w:hideMark/>
          </w:tcPr>
          <w:p w14:paraId="1FB24194" w14:textId="77777777" w:rsidR="00993F78" w:rsidRPr="00993F78" w:rsidRDefault="00993F78">
            <w:pPr>
              <w:rPr>
                <w:rFonts w:ascii="Calibri" w:hAnsi="Calibri"/>
                <w:sz w:val="24"/>
                <w:szCs w:val="24"/>
              </w:rPr>
            </w:pPr>
            <w:r w:rsidRPr="00993F78">
              <w:rPr>
                <w:rFonts w:ascii="Calibri" w:hAnsi="Calibri"/>
                <w:noProof/>
                <w:sz w:val="24"/>
                <w:szCs w:val="24"/>
              </w:rPr>
              <w:lastRenderedPageBreak/>
              <w:t>Resource 3 – goal setting. One per child</w:t>
            </w:r>
          </w:p>
        </w:tc>
      </w:tr>
      <w:tr w:rsidR="00993F78" w:rsidRPr="00993F78" w14:paraId="7C688725" w14:textId="77777777" w:rsidTr="00993F78">
        <w:trPr>
          <w:trHeight w:val="858"/>
        </w:trPr>
        <w:tc>
          <w:tcPr>
            <w:tcW w:w="1438" w:type="dxa"/>
            <w:tcBorders>
              <w:top w:val="single" w:sz="4" w:space="0" w:color="auto"/>
              <w:left w:val="single" w:sz="4" w:space="0" w:color="auto"/>
              <w:bottom w:val="single" w:sz="4" w:space="0" w:color="auto"/>
              <w:right w:val="single" w:sz="4" w:space="0" w:color="auto"/>
            </w:tcBorders>
            <w:hideMark/>
          </w:tcPr>
          <w:p w14:paraId="22FCA0F6" w14:textId="77777777" w:rsidR="00993F78" w:rsidRPr="00993F78" w:rsidRDefault="00993F78">
            <w:pPr>
              <w:rPr>
                <w:rFonts w:ascii="Calibri" w:hAnsi="Calibri"/>
                <w:b/>
                <w:sz w:val="24"/>
                <w:szCs w:val="24"/>
              </w:rPr>
            </w:pPr>
            <w:r w:rsidRPr="00993F78">
              <w:rPr>
                <w:rFonts w:ascii="Calibri" w:hAnsi="Calibri"/>
                <w:b/>
                <w:sz w:val="24"/>
                <w:szCs w:val="24"/>
              </w:rPr>
              <w:t>Follow up</w:t>
            </w:r>
          </w:p>
        </w:tc>
        <w:tc>
          <w:tcPr>
            <w:tcW w:w="5503" w:type="dxa"/>
            <w:tcBorders>
              <w:top w:val="single" w:sz="4" w:space="0" w:color="auto"/>
              <w:left w:val="single" w:sz="4" w:space="0" w:color="auto"/>
              <w:bottom w:val="single" w:sz="4" w:space="0" w:color="auto"/>
              <w:right w:val="single" w:sz="4" w:space="0" w:color="auto"/>
            </w:tcBorders>
            <w:hideMark/>
          </w:tcPr>
          <w:p w14:paraId="50B7BF74" w14:textId="77777777" w:rsidR="00993F78" w:rsidRPr="00993F78" w:rsidRDefault="00993F78" w:rsidP="00993F78">
            <w:pPr>
              <w:pStyle w:val="ListParagraph"/>
              <w:numPr>
                <w:ilvl w:val="0"/>
                <w:numId w:val="15"/>
              </w:numPr>
              <w:spacing w:after="0" w:line="240" w:lineRule="auto"/>
              <w:rPr>
                <w:rFonts w:ascii="Calibri" w:hAnsi="Calibri"/>
                <w:sz w:val="24"/>
                <w:szCs w:val="24"/>
              </w:rPr>
            </w:pPr>
            <w:r w:rsidRPr="00993F78">
              <w:rPr>
                <w:rFonts w:ascii="Calibri" w:hAnsi="Calibri"/>
                <w:sz w:val="24"/>
                <w:szCs w:val="24"/>
              </w:rPr>
              <w:t xml:space="preserve">You can reflect on and refer back to the goals set at a later date. This can provide evidence for assessment. </w:t>
            </w:r>
          </w:p>
        </w:tc>
        <w:tc>
          <w:tcPr>
            <w:tcW w:w="2075" w:type="dxa"/>
            <w:tcBorders>
              <w:top w:val="single" w:sz="4" w:space="0" w:color="auto"/>
              <w:left w:val="single" w:sz="4" w:space="0" w:color="auto"/>
              <w:bottom w:val="single" w:sz="4" w:space="0" w:color="auto"/>
              <w:right w:val="single" w:sz="4" w:space="0" w:color="auto"/>
            </w:tcBorders>
            <w:hideMark/>
          </w:tcPr>
          <w:p w14:paraId="3438A6EC" w14:textId="77777777" w:rsidR="00993F78" w:rsidRPr="00993F78" w:rsidRDefault="00993F78">
            <w:pPr>
              <w:rPr>
                <w:rFonts w:ascii="Calibri" w:hAnsi="Calibri"/>
                <w:sz w:val="24"/>
                <w:szCs w:val="24"/>
              </w:rPr>
            </w:pPr>
            <w:r w:rsidRPr="00993F78">
              <w:rPr>
                <w:rFonts w:ascii="Calibri" w:hAnsi="Calibri"/>
                <w:noProof/>
                <w:sz w:val="24"/>
                <w:szCs w:val="24"/>
              </w:rPr>
              <w:t>Resource 4 – goal setting follow-up.</w:t>
            </w:r>
          </w:p>
        </w:tc>
      </w:tr>
    </w:tbl>
    <w:p w14:paraId="5115875C" w14:textId="77777777" w:rsidR="00993F78" w:rsidRPr="00993F78" w:rsidRDefault="00993F78" w:rsidP="00993F78">
      <w:pPr>
        <w:rPr>
          <w:rFonts w:ascii="Calibri" w:hAnsi="Calibri"/>
          <w:b/>
        </w:rPr>
      </w:pPr>
      <w:bookmarkStart w:id="1" w:name="_Hlk23405879"/>
      <w:bookmarkEnd w:id="1"/>
    </w:p>
    <w:p w14:paraId="41F6A412" w14:textId="77777777" w:rsidR="00F407DE" w:rsidRPr="00A16061" w:rsidRDefault="00F407DE" w:rsidP="00E016A8"/>
    <w:sectPr w:rsidR="00F407DE" w:rsidRPr="00A16061" w:rsidSect="00993F78">
      <w:headerReference w:type="even" r:id="rId10"/>
      <w:headerReference w:type="default" r:id="rId11"/>
      <w:footerReference w:type="default" r:id="rId12"/>
      <w:headerReference w:type="firs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AEEDC" w14:textId="77777777" w:rsidR="00883EF2" w:rsidRDefault="00883EF2" w:rsidP="008A38B0">
      <w:r>
        <w:separator/>
      </w:r>
    </w:p>
  </w:endnote>
  <w:endnote w:type="continuationSeparator" w:id="0">
    <w:p w14:paraId="46505C4B" w14:textId="77777777" w:rsidR="00883EF2" w:rsidRDefault="00883EF2"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4EB6" w14:textId="77777777" w:rsidR="00E016A8" w:rsidRPr="00E016A8" w:rsidRDefault="00E016A8" w:rsidP="00E016A8">
    <w:pPr>
      <w:pStyle w:val="Footer"/>
      <w:jc w:val="center"/>
      <w:rPr>
        <w:rFonts w:asciiTheme="majorHAnsi" w:hAnsiTheme="majorHAnsi"/>
        <w:sz w:val="22"/>
        <w:szCs w:val="22"/>
        <w:lang w:val="en"/>
      </w:rPr>
    </w:pPr>
    <w:r w:rsidRPr="00E016A8">
      <w:rPr>
        <w:rFonts w:asciiTheme="majorHAnsi" w:hAnsiTheme="majorHAnsi"/>
        <w:color w:val="333333"/>
        <w:sz w:val="22"/>
        <w:szCs w:val="22"/>
        <w:lang w:val="en"/>
      </w:rPr>
      <w:t xml:space="preserve">The Eden Project, an educational charity, connects us with each other and the living world, exploring how we can work towards a better future. Find out more about our educational work </w:t>
    </w:r>
    <w:hyperlink r:id="rId1" w:history="1">
      <w:r w:rsidRPr="00E016A8">
        <w:rPr>
          <w:rStyle w:val="Hyperlink"/>
          <w:rFonts w:asciiTheme="majorHAnsi" w:hAnsiTheme="majorHAnsi"/>
          <w:sz w:val="22"/>
          <w:szCs w:val="22"/>
          <w:lang w:val="en"/>
        </w:rPr>
        <w:t>www.edenproject.com/education</w:t>
      </w:r>
    </w:hyperlink>
    <w:r w:rsidRPr="00E016A8">
      <w:rPr>
        <w:rFonts w:asciiTheme="majorHAnsi" w:hAnsiTheme="majorHAnsi"/>
        <w:sz w:val="22"/>
        <w:szCs w:val="22"/>
        <w:lang w:val="en"/>
      </w:rPr>
      <w:t xml:space="preserve"> </w:t>
    </w:r>
  </w:p>
  <w:p w14:paraId="123DA264" w14:textId="77777777" w:rsidR="00993F78" w:rsidRDefault="00993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EF63A" w14:textId="77777777" w:rsidR="00883EF2" w:rsidRDefault="00883EF2" w:rsidP="008A38B0">
      <w:r>
        <w:separator/>
      </w:r>
    </w:p>
  </w:footnote>
  <w:footnote w:type="continuationSeparator" w:id="0">
    <w:p w14:paraId="729216D3" w14:textId="77777777" w:rsidR="00883EF2" w:rsidRDefault="00883EF2"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92BC" w14:textId="77777777" w:rsidR="003827B6" w:rsidRDefault="00883EF2">
    <w:pPr>
      <w:pStyle w:val="Header"/>
    </w:pPr>
    <w:r>
      <w:rPr>
        <w:noProof/>
      </w:rPr>
      <w:pict w14:anchorId="67310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6704;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98E2" w14:textId="1E92FC73" w:rsidR="00A16061" w:rsidRDefault="00943197" w:rsidP="00E016A8">
    <w:pPr>
      <w:tabs>
        <w:tab w:val="center" w:pos="4870"/>
      </w:tabs>
    </w:pPr>
    <w:r>
      <w:rPr>
        <w:noProof/>
      </w:rPr>
      <w:drawing>
        <wp:anchor distT="0" distB="0" distL="114300" distR="114300" simplePos="0" relativeHeight="251664896" behindDoc="0" locked="0" layoutInCell="1" allowOverlap="1" wp14:anchorId="2D657B8D" wp14:editId="54C9A693">
          <wp:simplePos x="0" y="0"/>
          <wp:positionH relativeFrom="margin">
            <wp:posOffset>1885950</wp:posOffset>
          </wp:positionH>
          <wp:positionV relativeFrom="topMargin">
            <wp:align>bottom</wp:align>
          </wp:positionV>
          <wp:extent cx="2502535" cy="527068"/>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ogo red.jpg"/>
                  <pic:cNvPicPr/>
                </pic:nvPicPr>
                <pic:blipFill>
                  <a:blip r:embed="rId1">
                    <a:extLst>
                      <a:ext uri="{28A0092B-C50C-407E-A947-70E740481C1C}">
                        <a14:useLocalDpi xmlns:a14="http://schemas.microsoft.com/office/drawing/2010/main" val="0"/>
                      </a:ext>
                    </a:extLst>
                  </a:blip>
                  <a:stretch>
                    <a:fillRect/>
                  </a:stretch>
                </pic:blipFill>
                <pic:spPr>
                  <a:xfrm>
                    <a:off x="0" y="0"/>
                    <a:ext cx="2502535" cy="527068"/>
                  </a:xfrm>
                  <a:prstGeom prst="rect">
                    <a:avLst/>
                  </a:prstGeom>
                </pic:spPr>
              </pic:pic>
            </a:graphicData>
          </a:graphic>
        </wp:anchor>
      </w:drawing>
    </w:r>
    <w:r>
      <w:rPr>
        <w:noProof/>
      </w:rPr>
      <w:drawing>
        <wp:anchor distT="0" distB="0" distL="114300" distR="114300" simplePos="0" relativeHeight="251662848" behindDoc="0" locked="0" layoutInCell="1" allowOverlap="1" wp14:anchorId="2C79EC02" wp14:editId="5C5FCEC8">
          <wp:simplePos x="0" y="0"/>
          <wp:positionH relativeFrom="margin">
            <wp:posOffset>-2124075</wp:posOffset>
          </wp:positionH>
          <wp:positionV relativeFrom="margin">
            <wp:posOffset>-3766185</wp:posOffset>
          </wp:positionV>
          <wp:extent cx="2502535" cy="527068"/>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ogo red.jpg"/>
                  <pic:cNvPicPr/>
                </pic:nvPicPr>
                <pic:blipFill>
                  <a:blip r:embed="rId1">
                    <a:extLst>
                      <a:ext uri="{28A0092B-C50C-407E-A947-70E740481C1C}">
                        <a14:useLocalDpi xmlns:a14="http://schemas.microsoft.com/office/drawing/2010/main" val="0"/>
                      </a:ext>
                    </a:extLst>
                  </a:blip>
                  <a:stretch>
                    <a:fillRect/>
                  </a:stretch>
                </pic:blipFill>
                <pic:spPr>
                  <a:xfrm>
                    <a:off x="0" y="0"/>
                    <a:ext cx="2502535" cy="527068"/>
                  </a:xfrm>
                  <a:prstGeom prst="rect">
                    <a:avLst/>
                  </a:prstGeom>
                </pic:spPr>
              </pic:pic>
            </a:graphicData>
          </a:graphic>
        </wp:anchor>
      </w:drawing>
    </w:r>
    <w:r w:rsidR="00E016A8">
      <w:rPr>
        <w:noProof/>
      </w:rPr>
      <w:drawing>
        <wp:anchor distT="0" distB="0" distL="114300" distR="114300" simplePos="0" relativeHeight="251657728" behindDoc="0" locked="0" layoutInCell="1" allowOverlap="1" wp14:anchorId="5E9BB95C" wp14:editId="1722F603">
          <wp:simplePos x="0" y="0"/>
          <wp:positionH relativeFrom="margin">
            <wp:posOffset>-2276475</wp:posOffset>
          </wp:positionH>
          <wp:positionV relativeFrom="margin">
            <wp:posOffset>-3918585</wp:posOffset>
          </wp:positionV>
          <wp:extent cx="2502535" cy="527068"/>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ogo red.jpg"/>
                  <pic:cNvPicPr/>
                </pic:nvPicPr>
                <pic:blipFill>
                  <a:blip r:embed="rId1">
                    <a:extLst>
                      <a:ext uri="{28A0092B-C50C-407E-A947-70E740481C1C}">
                        <a14:useLocalDpi xmlns:a14="http://schemas.microsoft.com/office/drawing/2010/main" val="0"/>
                      </a:ext>
                    </a:extLst>
                  </a:blip>
                  <a:stretch>
                    <a:fillRect/>
                  </a:stretch>
                </pic:blipFill>
                <pic:spPr>
                  <a:xfrm>
                    <a:off x="0" y="0"/>
                    <a:ext cx="2502535" cy="527068"/>
                  </a:xfrm>
                  <a:prstGeom prst="rect">
                    <a:avLst/>
                  </a:prstGeom>
                </pic:spPr>
              </pic:pic>
            </a:graphicData>
          </a:graphic>
        </wp:anchor>
      </w:drawing>
    </w:r>
    <w:r w:rsidR="00E016A8">
      <w:rPr>
        <w:noProof/>
        <w:lang w:eastAsia="en-GB"/>
      </w:rPr>
      <w:drawing>
        <wp:anchor distT="0" distB="0" distL="114300" distR="114300" simplePos="0" relativeHeight="251655680" behindDoc="1" locked="0" layoutInCell="1" allowOverlap="1" wp14:anchorId="334480AC" wp14:editId="66090712">
          <wp:simplePos x="0" y="0"/>
          <wp:positionH relativeFrom="page">
            <wp:posOffset>-1362710</wp:posOffset>
          </wp:positionH>
          <wp:positionV relativeFrom="paragraph">
            <wp:posOffset>-2940050</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061">
      <w:tab/>
    </w:r>
  </w:p>
  <w:p w14:paraId="6BAF0D03" w14:textId="07EB7C9B" w:rsidR="008A38B0" w:rsidRDefault="00943197">
    <w:r>
      <w:rPr>
        <w:noProof/>
        <w:lang w:eastAsia="en-GB"/>
      </w:rPr>
      <w:drawing>
        <wp:anchor distT="0" distB="0" distL="114300" distR="114300" simplePos="0" relativeHeight="251665920" behindDoc="0" locked="0" layoutInCell="1" allowOverlap="1" wp14:anchorId="27E7582A" wp14:editId="7017FBF4">
          <wp:simplePos x="0" y="0"/>
          <wp:positionH relativeFrom="margin">
            <wp:align>right</wp:align>
          </wp:positionH>
          <wp:positionV relativeFrom="paragraph">
            <wp:posOffset>8255</wp:posOffset>
          </wp:positionV>
          <wp:extent cx="1116330" cy="452120"/>
          <wp:effectExtent l="0" t="0" r="762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330" cy="452120"/>
                  </a:xfrm>
                  <a:prstGeom prst="rect">
                    <a:avLst/>
                  </a:prstGeom>
                </pic:spPr>
              </pic:pic>
            </a:graphicData>
          </a:graphic>
          <wp14:sizeRelH relativeFrom="page">
            <wp14:pctWidth>0</wp14:pctWidth>
          </wp14:sizeRelH>
          <wp14:sizeRelV relativeFrom="page">
            <wp14:pctHeight>0</wp14:pctHeight>
          </wp14:sizeRelV>
        </wp:anchor>
      </w:drawing>
    </w:r>
    <w:r w:rsidR="003467E6">
      <w:t xml:space="preserve"> </w:t>
    </w:r>
  </w:p>
  <w:p w14:paraId="3593101F" w14:textId="77777777" w:rsidR="0089793F" w:rsidRDefault="0089793F"/>
  <w:p w14:paraId="65DE3B9E"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5467" w14:textId="3B27BB60" w:rsidR="003467E6" w:rsidRDefault="00943197" w:rsidP="00E016A8">
    <w:pPr>
      <w:tabs>
        <w:tab w:val="center" w:pos="4870"/>
      </w:tabs>
    </w:pPr>
    <w:r>
      <w:rPr>
        <w:noProof/>
      </w:rPr>
      <w:drawing>
        <wp:anchor distT="0" distB="0" distL="114300" distR="114300" simplePos="0" relativeHeight="251658752" behindDoc="0" locked="0" layoutInCell="1" allowOverlap="1" wp14:anchorId="268F20E4" wp14:editId="41866A7F">
          <wp:simplePos x="0" y="0"/>
          <wp:positionH relativeFrom="margin">
            <wp:posOffset>2209800</wp:posOffset>
          </wp:positionH>
          <wp:positionV relativeFrom="margin">
            <wp:posOffset>-656590</wp:posOffset>
          </wp:positionV>
          <wp:extent cx="2502535" cy="527068"/>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ogo red.jpg"/>
                  <pic:cNvPicPr/>
                </pic:nvPicPr>
                <pic:blipFill>
                  <a:blip r:embed="rId1">
                    <a:extLst>
                      <a:ext uri="{28A0092B-C50C-407E-A947-70E740481C1C}">
                        <a14:useLocalDpi xmlns:a14="http://schemas.microsoft.com/office/drawing/2010/main" val="0"/>
                      </a:ext>
                    </a:extLst>
                  </a:blip>
                  <a:stretch>
                    <a:fillRect/>
                  </a:stretch>
                </pic:blipFill>
                <pic:spPr>
                  <a:xfrm>
                    <a:off x="0" y="0"/>
                    <a:ext cx="2502535" cy="527068"/>
                  </a:xfrm>
                  <a:prstGeom prst="rect">
                    <a:avLst/>
                  </a:prstGeom>
                </pic:spPr>
              </pic:pic>
            </a:graphicData>
          </a:graphic>
        </wp:anchor>
      </w:drawing>
    </w:r>
    <w:r>
      <w:rPr>
        <w:noProof/>
        <w:lang w:eastAsia="en-GB"/>
      </w:rPr>
      <w:drawing>
        <wp:anchor distT="0" distB="0" distL="114300" distR="114300" simplePos="0" relativeHeight="251660800" behindDoc="0" locked="0" layoutInCell="1" allowOverlap="1" wp14:anchorId="2E86CE21" wp14:editId="7E3C163D">
          <wp:simplePos x="0" y="0"/>
          <wp:positionH relativeFrom="margin">
            <wp:posOffset>5022850</wp:posOffset>
          </wp:positionH>
          <wp:positionV relativeFrom="margin">
            <wp:posOffset>-533400</wp:posOffset>
          </wp:positionV>
          <wp:extent cx="1116330" cy="452120"/>
          <wp:effectExtent l="0" t="0" r="762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330" cy="452120"/>
                  </a:xfrm>
                  <a:prstGeom prst="rect">
                    <a:avLst/>
                  </a:prstGeom>
                </pic:spPr>
              </pic:pic>
            </a:graphicData>
          </a:graphic>
        </wp:anchor>
      </w:drawing>
    </w:r>
    <w:r w:rsidR="007F680C">
      <w:rPr>
        <w:noProof/>
        <w:lang w:eastAsia="en-GB"/>
      </w:rPr>
      <w:drawing>
        <wp:anchor distT="0" distB="0" distL="114300" distR="114300" simplePos="0" relativeHeight="251656704" behindDoc="1" locked="0" layoutInCell="1" allowOverlap="1" wp14:anchorId="4457C260" wp14:editId="75C8AC4C">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r w:rsidR="00081C49">
      <w:tab/>
    </w:r>
  </w:p>
  <w:p w14:paraId="0E3CB9A1" w14:textId="70C2E218" w:rsidR="00CC32F9" w:rsidRDefault="004B063E">
    <w:pPr>
      <w:pStyle w:val="Header"/>
    </w:pPr>
    <w:r>
      <w:t xml:space="preserve">     </w:t>
    </w:r>
  </w:p>
  <w:p w14:paraId="4AAA1088"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6566C6"/>
    <w:multiLevelType w:val="hybridMultilevel"/>
    <w:tmpl w:val="F1F4D84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1" w15:restartNumberingAfterBreak="0">
    <w:nsid w:val="61C74EEA"/>
    <w:multiLevelType w:val="hybridMultilevel"/>
    <w:tmpl w:val="5CAA5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DE3494"/>
    <w:multiLevelType w:val="hybridMultilevel"/>
    <w:tmpl w:val="B3043A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B724595"/>
    <w:multiLevelType w:val="hybridMultilevel"/>
    <w:tmpl w:val="333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4942F2"/>
    <w:multiLevelType w:val="hybridMultilevel"/>
    <w:tmpl w:val="F0326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C983805"/>
    <w:multiLevelType w:val="hybridMultilevel"/>
    <w:tmpl w:val="C40A5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1"/>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78"/>
    <w:rsid w:val="00010412"/>
    <w:rsid w:val="0004309E"/>
    <w:rsid w:val="000500C5"/>
    <w:rsid w:val="000503CA"/>
    <w:rsid w:val="00071CCB"/>
    <w:rsid w:val="00081C49"/>
    <w:rsid w:val="000A56FD"/>
    <w:rsid w:val="00127D71"/>
    <w:rsid w:val="00173049"/>
    <w:rsid w:val="00262A93"/>
    <w:rsid w:val="00285864"/>
    <w:rsid w:val="00335637"/>
    <w:rsid w:val="003467E6"/>
    <w:rsid w:val="003827B6"/>
    <w:rsid w:val="003E12F6"/>
    <w:rsid w:val="003F6FD2"/>
    <w:rsid w:val="004450C8"/>
    <w:rsid w:val="004B063E"/>
    <w:rsid w:val="004D6B50"/>
    <w:rsid w:val="005F4DB5"/>
    <w:rsid w:val="007753C3"/>
    <w:rsid w:val="007F680C"/>
    <w:rsid w:val="00866882"/>
    <w:rsid w:val="008754F9"/>
    <w:rsid w:val="00883EF2"/>
    <w:rsid w:val="0089793F"/>
    <w:rsid w:val="008A38B0"/>
    <w:rsid w:val="00943197"/>
    <w:rsid w:val="00993F78"/>
    <w:rsid w:val="009E1A78"/>
    <w:rsid w:val="00A02DC3"/>
    <w:rsid w:val="00A16061"/>
    <w:rsid w:val="00A9039E"/>
    <w:rsid w:val="00A9133F"/>
    <w:rsid w:val="00AE2D14"/>
    <w:rsid w:val="00B533CD"/>
    <w:rsid w:val="00BB3871"/>
    <w:rsid w:val="00BF4868"/>
    <w:rsid w:val="00C661EB"/>
    <w:rsid w:val="00CC32F9"/>
    <w:rsid w:val="00D078B1"/>
    <w:rsid w:val="00DD2B5A"/>
    <w:rsid w:val="00E016A8"/>
    <w:rsid w:val="00E07A7A"/>
    <w:rsid w:val="00EA7F86"/>
    <w:rsid w:val="00F407DE"/>
    <w:rsid w:val="00F61791"/>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0694B3"/>
  <w14:defaultImageDpi w14:val="32767"/>
  <w15:chartTrackingRefBased/>
  <w15:docId w15:val="{B0193A93-3FF1-4CCC-82DD-54AAF65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character" w:styleId="Hyperlink">
    <w:name w:val="Hyperlink"/>
    <w:basedOn w:val="DefaultParagraphFont"/>
    <w:uiPriority w:val="99"/>
    <w:semiHidden/>
    <w:unhideWhenUsed/>
    <w:rsid w:val="00993F78"/>
    <w:rPr>
      <w:color w:val="0563C1" w:themeColor="hyperlink"/>
      <w:u w:val="single"/>
    </w:rPr>
  </w:style>
  <w:style w:type="paragraph" w:styleId="ListParagraph">
    <w:name w:val="List Paragraph"/>
    <w:basedOn w:val="Normal"/>
    <w:uiPriority w:val="34"/>
    <w:qFormat/>
    <w:rsid w:val="00993F78"/>
    <w:pPr>
      <w:spacing w:after="160" w:line="256" w:lineRule="auto"/>
      <w:ind w:left="720"/>
      <w:contextualSpacing/>
    </w:pPr>
    <w:rPr>
      <w:rFonts w:asciiTheme="minorHAnsi" w:hAnsiTheme="minorHAnsi"/>
      <w:sz w:val="22"/>
      <w:szCs w:val="22"/>
    </w:rPr>
  </w:style>
  <w:style w:type="table" w:styleId="TableGrid">
    <w:name w:val="Table Grid"/>
    <w:basedOn w:val="TableNormal"/>
    <w:uiPriority w:val="39"/>
    <w:rsid w:val="00993F7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national-curriculum-in-england-english-programmes-of-study/national-curriculum-in-england-english-programmes-of-stud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3TX-Nu5wTS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killsbuilder.org/framewor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denproject.com/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hutton\AppData\Local\Microsoft\Windows\INetCache\Content.Outlook\59AK53KJ\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7</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Hutton</dc:creator>
  <cp:keywords/>
  <dc:description/>
  <cp:lastModifiedBy>Isabel Hutton</cp:lastModifiedBy>
  <cp:revision>5</cp:revision>
  <dcterms:created xsi:type="dcterms:W3CDTF">2020-04-03T11:45:00Z</dcterms:created>
  <dcterms:modified xsi:type="dcterms:W3CDTF">2020-04-22T16:01:00Z</dcterms:modified>
</cp:coreProperties>
</file>